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72" w:rsidRDefault="00867872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867872" w:rsidRDefault="00867872" w:rsidP="00895B56">
      <w:pPr>
        <w:jc w:val="center"/>
      </w:pPr>
    </w:p>
    <w:p w:rsidR="00867872" w:rsidRPr="00493BDB" w:rsidRDefault="00867872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67872" w:rsidRPr="00493BDB" w:rsidRDefault="00867872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67872" w:rsidRDefault="00867872" w:rsidP="00895B56">
      <w:pPr>
        <w:jc w:val="center"/>
      </w:pPr>
    </w:p>
    <w:p w:rsidR="00867872" w:rsidRDefault="00867872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867872" w:rsidRDefault="00867872" w:rsidP="00895B56">
      <w:pPr>
        <w:jc w:val="center"/>
      </w:pPr>
      <w:r>
        <w:t xml:space="preserve">на проект решения Совета Батуринского сельского поселения «О внесении изменений в  решение Совета Батуринского сельского  поселения от 28.12.2018 № 69 «Об утверждении бюджета муниципального образования «Батуринское сельское поселение» на 2019 год и плановый период 2020 и 2021 годов». </w:t>
      </w:r>
    </w:p>
    <w:p w:rsidR="00867872" w:rsidRPr="00811946" w:rsidRDefault="00867872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19</w:t>
      </w:r>
      <w:r w:rsidRPr="00214366">
        <w:t>.</w:t>
      </w:r>
      <w:r>
        <w:t>03</w:t>
      </w:r>
      <w:r w:rsidRPr="00214366">
        <w:t>.201</w:t>
      </w:r>
      <w:r>
        <w:t>9</w:t>
      </w:r>
    </w:p>
    <w:p w:rsidR="00867872" w:rsidRPr="00CB7A5F" w:rsidRDefault="00867872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867872" w:rsidRDefault="00867872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 и на плановый период 2020 и 2021 годов». </w:t>
      </w:r>
    </w:p>
    <w:p w:rsidR="00867872" w:rsidRPr="005C0B5C" w:rsidRDefault="00867872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  и на плановый период 2020 и 2021 годов» проведена в период с 18 марта</w:t>
      </w:r>
      <w:r w:rsidRPr="00214366">
        <w:t xml:space="preserve"> 201</w:t>
      </w:r>
      <w:r>
        <w:t>9</w:t>
      </w:r>
      <w:r w:rsidRPr="00214366">
        <w:t xml:space="preserve"> года по </w:t>
      </w:r>
      <w:r>
        <w:t>19</w:t>
      </w:r>
      <w:r w:rsidRPr="00214366">
        <w:t xml:space="preserve"> </w:t>
      </w:r>
      <w:r>
        <w:t xml:space="preserve">марта </w:t>
      </w:r>
      <w:r w:rsidRPr="00214366">
        <w:t>201</w:t>
      </w:r>
      <w:r>
        <w:t>9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 xml:space="preserve"> 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18</w:t>
      </w:r>
      <w:r w:rsidRPr="00214366">
        <w:t>.</w:t>
      </w:r>
      <w:r>
        <w:t>03</w:t>
      </w:r>
      <w:r w:rsidRPr="00214366">
        <w:t>.201</w:t>
      </w:r>
      <w:r>
        <w:t>9</w:t>
      </w:r>
      <w:r w:rsidRPr="00214366">
        <w:t xml:space="preserve"> № </w:t>
      </w:r>
      <w:r>
        <w:t>20</w:t>
      </w:r>
      <w:r w:rsidRPr="009F39F0">
        <w:t>.</w:t>
      </w:r>
    </w:p>
    <w:p w:rsidR="00867872" w:rsidRDefault="00867872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867872" w:rsidRDefault="00867872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867872" w:rsidRDefault="00867872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867872" w:rsidRDefault="00867872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10674,7тыс. рублей и составят 18089,4 тыс. рублей;</w:t>
      </w:r>
    </w:p>
    <w:p w:rsidR="00867872" w:rsidRDefault="00867872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10674,7 тыс. рублей и составят 18089,4 тыс. рублей;</w:t>
      </w:r>
    </w:p>
    <w:p w:rsidR="00867872" w:rsidRPr="00893E35" w:rsidRDefault="00867872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867872" w:rsidRPr="00893E35" w:rsidRDefault="00867872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867872" w:rsidRDefault="00867872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2019 год. Изменение структуры доходов бюджета на 2019 год приведено в таблице.</w:t>
      </w:r>
    </w:p>
    <w:p w:rsidR="00867872" w:rsidRDefault="00867872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867872" w:rsidTr="00737685">
        <w:tc>
          <w:tcPr>
            <w:tcW w:w="3794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867872" w:rsidRPr="00737685" w:rsidRDefault="00867872" w:rsidP="0021436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867872" w:rsidTr="00737685">
        <w:tc>
          <w:tcPr>
            <w:tcW w:w="3794" w:type="dxa"/>
          </w:tcPr>
          <w:p w:rsidR="00867872" w:rsidRPr="00737685" w:rsidRDefault="00867872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867872" w:rsidRPr="00476D39" w:rsidRDefault="0086787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1606,0</w:t>
            </w:r>
          </w:p>
        </w:tc>
        <w:tc>
          <w:tcPr>
            <w:tcW w:w="1701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1606,0</w:t>
            </w:r>
          </w:p>
        </w:tc>
        <w:tc>
          <w:tcPr>
            <w:tcW w:w="1950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</w:p>
        </w:tc>
      </w:tr>
      <w:tr w:rsidR="00867872" w:rsidTr="00737685">
        <w:tc>
          <w:tcPr>
            <w:tcW w:w="3794" w:type="dxa"/>
          </w:tcPr>
          <w:p w:rsidR="00867872" w:rsidRPr="00737685" w:rsidRDefault="00867872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867872" w:rsidRPr="00737685" w:rsidRDefault="00867872" w:rsidP="00E704D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5808,7</w:t>
            </w:r>
          </w:p>
        </w:tc>
        <w:tc>
          <w:tcPr>
            <w:tcW w:w="1701" w:type="dxa"/>
          </w:tcPr>
          <w:p w:rsidR="00867872" w:rsidRPr="00737685" w:rsidRDefault="00867872" w:rsidP="006F5D7F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16483,4</w:t>
            </w:r>
          </w:p>
        </w:tc>
        <w:tc>
          <w:tcPr>
            <w:tcW w:w="1950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10674,7</w:t>
            </w:r>
          </w:p>
        </w:tc>
      </w:tr>
      <w:tr w:rsidR="00867872" w:rsidTr="00737685">
        <w:tc>
          <w:tcPr>
            <w:tcW w:w="3794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867872" w:rsidRPr="00737685" w:rsidRDefault="00867872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7414,7</w:t>
            </w:r>
          </w:p>
        </w:tc>
        <w:tc>
          <w:tcPr>
            <w:tcW w:w="1701" w:type="dxa"/>
          </w:tcPr>
          <w:p w:rsidR="00867872" w:rsidRPr="00737685" w:rsidRDefault="00867872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18089,4</w:t>
            </w:r>
          </w:p>
        </w:tc>
        <w:tc>
          <w:tcPr>
            <w:tcW w:w="1950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+10674,7</w:t>
            </w:r>
          </w:p>
        </w:tc>
      </w:tr>
    </w:tbl>
    <w:p w:rsidR="00867872" w:rsidRDefault="00867872" w:rsidP="00811946">
      <w:pPr>
        <w:pStyle w:val="BodyTextIndent"/>
        <w:ind w:left="0" w:firstLine="567"/>
        <w:jc w:val="both"/>
      </w:pP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увеличить в общей сумме на 10674,7 тыс. рублей, в том числе: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1.</w:t>
      </w:r>
      <w:r w:rsidRPr="00870E33">
        <w:t xml:space="preserve"> </w:t>
      </w:r>
      <w:r>
        <w:t>увеличение субвенции на осуществление  первичного воинского учета, где отсутствуют военные комиссариаты в сумме 100,6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2.  увеличение дотации на выравнивание бюджетной обеспеченности в размере 22,1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3. увеличение прочих межбюджетных трансфертов, передаваемых бюджетам сельских поселений в общей сумме 10552,0 тыс. рублей, в том числе: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 w:rsidRPr="000A3D07">
        <w:t>- на проведение мероприятий по обеспечению услуг Асиновского Совета ветеранов</w:t>
      </w:r>
      <w:r>
        <w:t xml:space="preserve"> в сумме 40,8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реализацию полномочий по участию в организации деятельности по обработке, утилизации, обезвреживанию, захоронению твердых коммунальных отходов в сумме 116,7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обеспечение и проведение противопожарных мероприятий в сумме 124,0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1595,1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финансовое обеспечение затрат по содержанию станции водоочистки воды в сумме 200,0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реализацию мероприятий по ремонту автомобильных дорог общего пользования местного значения в границах муниципальных районов в сумме 2739,8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компенсацию расходов по организации электроснабжения от дизельной электростанции в сумме 4535,6 тыс. рублей;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  <w:r>
        <w:t>- на реализацию муниципальной программы «Развитие коммунальной инфраструктуры в Асиновском районе» (Мероприятие «Капитальный ремонт объектов электроснабжения в п. Первопашенск Асиновского района) в сумме 1200,0 тыс. рублей.</w:t>
      </w:r>
    </w:p>
    <w:p w:rsidR="00867872" w:rsidRDefault="00867872" w:rsidP="008E4729">
      <w:pPr>
        <w:pStyle w:val="BodyTextIndent"/>
        <w:spacing w:after="0"/>
        <w:ind w:left="0" w:firstLine="567"/>
        <w:jc w:val="both"/>
      </w:pPr>
    </w:p>
    <w:p w:rsidR="00867872" w:rsidRDefault="00867872" w:rsidP="008E4729">
      <w:pPr>
        <w:pStyle w:val="BodyTextIndent"/>
        <w:spacing w:after="0"/>
        <w:ind w:left="0" w:firstLine="567"/>
        <w:jc w:val="both"/>
      </w:pPr>
    </w:p>
    <w:p w:rsidR="00867872" w:rsidRDefault="00867872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на 2019 год.</w:t>
      </w:r>
    </w:p>
    <w:p w:rsidR="00867872" w:rsidRPr="00E90879" w:rsidRDefault="00867872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2019 год: в приложение 5 «Ведомственная структура расходов бюджета  муниципального образования «Батуринское сельское поселение» на 2019 год» к решению Совета Батуринского сельского поселения от 28.12.2018 № 69 «Об утверждении бюджета муниципального образования «Батуринское сельское поселение» на 2019 год  и на плановый период 2020 и 2021 годов».</w:t>
      </w:r>
    </w:p>
    <w:p w:rsidR="00867872" w:rsidRDefault="00867872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867872" w:rsidRPr="00D15E0E" w:rsidRDefault="00867872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867872" w:rsidTr="00117D99">
        <w:trPr>
          <w:trHeight w:val="801"/>
        </w:trPr>
        <w:tc>
          <w:tcPr>
            <w:tcW w:w="1427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867872" w:rsidTr="00117D99">
        <w:trPr>
          <w:trHeight w:val="661"/>
        </w:trPr>
        <w:tc>
          <w:tcPr>
            <w:tcW w:w="1427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</w:pPr>
            <w:r w:rsidRPr="00021AB6">
              <w:t>4795,2</w:t>
            </w:r>
          </w:p>
        </w:tc>
        <w:tc>
          <w:tcPr>
            <w:tcW w:w="1576" w:type="dxa"/>
          </w:tcPr>
          <w:p w:rsidR="00867872" w:rsidRPr="00021AB6" w:rsidRDefault="00867872" w:rsidP="00143577">
            <w:pPr>
              <w:pStyle w:val="BodyTextIndent"/>
              <w:ind w:left="0"/>
              <w:jc w:val="both"/>
            </w:pPr>
            <w:r w:rsidRPr="00021AB6">
              <w:t>4858,1</w:t>
            </w:r>
          </w:p>
        </w:tc>
        <w:tc>
          <w:tcPr>
            <w:tcW w:w="1542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+62,9</w:t>
            </w:r>
          </w:p>
        </w:tc>
      </w:tr>
      <w:tr w:rsidR="00867872" w:rsidTr="00117D99">
        <w:trPr>
          <w:trHeight w:val="661"/>
        </w:trPr>
        <w:tc>
          <w:tcPr>
            <w:tcW w:w="1427" w:type="dxa"/>
          </w:tcPr>
          <w:p w:rsidR="00867872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867872" w:rsidRDefault="00867872" w:rsidP="00811946">
            <w:pPr>
              <w:pStyle w:val="BodyTextIndent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</w:pPr>
          </w:p>
        </w:tc>
        <w:tc>
          <w:tcPr>
            <w:tcW w:w="1576" w:type="dxa"/>
          </w:tcPr>
          <w:p w:rsidR="00867872" w:rsidRPr="00021AB6" w:rsidRDefault="00867872" w:rsidP="00143577">
            <w:pPr>
              <w:pStyle w:val="BodyTextIndent"/>
              <w:ind w:left="0"/>
              <w:jc w:val="both"/>
            </w:pPr>
            <w:r w:rsidRPr="00021AB6">
              <w:t>100,6</w:t>
            </w:r>
          </w:p>
        </w:tc>
        <w:tc>
          <w:tcPr>
            <w:tcW w:w="1542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+100,6</w:t>
            </w:r>
          </w:p>
        </w:tc>
      </w:tr>
      <w:tr w:rsidR="00867872" w:rsidTr="00117D99">
        <w:trPr>
          <w:trHeight w:val="661"/>
        </w:trPr>
        <w:tc>
          <w:tcPr>
            <w:tcW w:w="1427" w:type="dxa"/>
          </w:tcPr>
          <w:p w:rsidR="00867872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867872" w:rsidRPr="00774DE4" w:rsidRDefault="00867872" w:rsidP="00774DE4">
            <w:pPr>
              <w:pStyle w:val="BodyTextIndent"/>
              <w:ind w:left="0"/>
            </w:pPr>
            <w:r w:rsidRPr="00774DE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</w:pPr>
            <w:r w:rsidRPr="00021AB6">
              <w:t>130,0</w:t>
            </w:r>
          </w:p>
        </w:tc>
        <w:tc>
          <w:tcPr>
            <w:tcW w:w="1576" w:type="dxa"/>
          </w:tcPr>
          <w:p w:rsidR="00867872" w:rsidRPr="00021AB6" w:rsidRDefault="00867872" w:rsidP="00143577">
            <w:pPr>
              <w:pStyle w:val="BodyTextIndent"/>
              <w:ind w:left="0"/>
              <w:jc w:val="both"/>
            </w:pPr>
            <w:r w:rsidRPr="00021AB6">
              <w:t>254,0</w:t>
            </w:r>
          </w:p>
        </w:tc>
        <w:tc>
          <w:tcPr>
            <w:tcW w:w="1542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+124,0</w:t>
            </w:r>
          </w:p>
        </w:tc>
      </w:tr>
      <w:tr w:rsidR="00867872" w:rsidTr="00117D99">
        <w:trPr>
          <w:trHeight w:val="661"/>
        </w:trPr>
        <w:tc>
          <w:tcPr>
            <w:tcW w:w="1427" w:type="dxa"/>
          </w:tcPr>
          <w:p w:rsidR="00867872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867872" w:rsidRPr="00774DE4" w:rsidRDefault="00867872" w:rsidP="00774DE4">
            <w:pPr>
              <w:pStyle w:val="BodyTextIndent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</w:pPr>
            <w:r w:rsidRPr="00021AB6">
              <w:t>1100,0</w:t>
            </w:r>
          </w:p>
        </w:tc>
        <w:tc>
          <w:tcPr>
            <w:tcW w:w="1576" w:type="dxa"/>
          </w:tcPr>
          <w:p w:rsidR="00867872" w:rsidRPr="00021AB6" w:rsidRDefault="00867872" w:rsidP="00143577">
            <w:pPr>
              <w:pStyle w:val="BodyTextIndent"/>
              <w:ind w:left="0"/>
              <w:jc w:val="both"/>
            </w:pPr>
            <w:r w:rsidRPr="00021AB6">
              <w:t>3839,8</w:t>
            </w:r>
          </w:p>
        </w:tc>
        <w:tc>
          <w:tcPr>
            <w:tcW w:w="1542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+2739,8</w:t>
            </w:r>
          </w:p>
        </w:tc>
      </w:tr>
      <w:tr w:rsidR="00867872" w:rsidTr="00117D99">
        <w:trPr>
          <w:trHeight w:val="631"/>
        </w:trPr>
        <w:tc>
          <w:tcPr>
            <w:tcW w:w="1427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867872" w:rsidRPr="00737685" w:rsidRDefault="00867872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</w:pPr>
            <w:r w:rsidRPr="00021AB6">
              <w:t>1229,5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</w:pPr>
            <w:r w:rsidRPr="00021AB6">
              <w:t>7281,8</w:t>
            </w:r>
          </w:p>
        </w:tc>
        <w:tc>
          <w:tcPr>
            <w:tcW w:w="1542" w:type="dxa"/>
          </w:tcPr>
          <w:p w:rsidR="00867872" w:rsidRPr="00021AB6" w:rsidRDefault="00867872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+6052,3</w:t>
            </w:r>
          </w:p>
        </w:tc>
      </w:tr>
      <w:tr w:rsidR="00867872" w:rsidTr="00117D99">
        <w:trPr>
          <w:trHeight w:val="631"/>
        </w:trPr>
        <w:tc>
          <w:tcPr>
            <w:tcW w:w="1427" w:type="dxa"/>
          </w:tcPr>
          <w:p w:rsidR="00867872" w:rsidRDefault="00867872" w:rsidP="002A6B4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39" w:type="dxa"/>
          </w:tcPr>
          <w:p w:rsidR="00867872" w:rsidRPr="00774DE4" w:rsidRDefault="00867872" w:rsidP="002A6B4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576" w:type="dxa"/>
          </w:tcPr>
          <w:p w:rsidR="00867872" w:rsidRPr="00021AB6" w:rsidRDefault="00867872" w:rsidP="002A6B4C">
            <w:pPr>
              <w:pStyle w:val="BodyTextIndent"/>
              <w:ind w:left="0"/>
              <w:jc w:val="both"/>
            </w:pPr>
          </w:p>
        </w:tc>
        <w:tc>
          <w:tcPr>
            <w:tcW w:w="1576" w:type="dxa"/>
          </w:tcPr>
          <w:p w:rsidR="00867872" w:rsidRPr="00021AB6" w:rsidRDefault="00867872" w:rsidP="002A6B4C">
            <w:pPr>
              <w:pStyle w:val="BodyTextIndent"/>
              <w:ind w:left="0"/>
              <w:jc w:val="both"/>
            </w:pPr>
            <w:r w:rsidRPr="00021AB6">
              <w:t>1595,1</w:t>
            </w:r>
          </w:p>
        </w:tc>
        <w:tc>
          <w:tcPr>
            <w:tcW w:w="1542" w:type="dxa"/>
          </w:tcPr>
          <w:p w:rsidR="00867872" w:rsidRPr="00021AB6" w:rsidRDefault="00867872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+1595,1</w:t>
            </w:r>
          </w:p>
        </w:tc>
      </w:tr>
      <w:tr w:rsidR="00867872" w:rsidTr="00117D99">
        <w:trPr>
          <w:trHeight w:val="391"/>
        </w:trPr>
        <w:tc>
          <w:tcPr>
            <w:tcW w:w="4866" w:type="dxa"/>
            <w:gridSpan w:val="2"/>
          </w:tcPr>
          <w:p w:rsidR="00867872" w:rsidRPr="00737685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7414,7</w:t>
            </w:r>
          </w:p>
        </w:tc>
        <w:tc>
          <w:tcPr>
            <w:tcW w:w="1576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18089,4</w:t>
            </w:r>
          </w:p>
        </w:tc>
        <w:tc>
          <w:tcPr>
            <w:tcW w:w="1542" w:type="dxa"/>
          </w:tcPr>
          <w:p w:rsidR="00867872" w:rsidRPr="00021AB6" w:rsidRDefault="00867872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+ 10674,7</w:t>
            </w:r>
          </w:p>
        </w:tc>
      </w:tr>
    </w:tbl>
    <w:p w:rsidR="00867872" w:rsidRDefault="00867872" w:rsidP="00811946">
      <w:pPr>
        <w:pStyle w:val="BodyTextIndent"/>
        <w:ind w:left="720"/>
        <w:jc w:val="both"/>
        <w:rPr>
          <w:b/>
        </w:rPr>
      </w:pPr>
    </w:p>
    <w:p w:rsidR="00867872" w:rsidRDefault="00867872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10674,7 тыс. рублей и составит 18089,4 тыс. рублей.</w:t>
      </w:r>
    </w:p>
    <w:p w:rsidR="00867872" w:rsidRDefault="00867872" w:rsidP="00E16191">
      <w:pPr>
        <w:pStyle w:val="BodyTextIndent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7</w:t>
      </w:r>
      <w:r w:rsidRPr="00CE683E">
        <w:t xml:space="preserve"> «Объем межбюджетных трансфертов</w:t>
      </w:r>
      <w:r>
        <w:t xml:space="preserve">, получаемых из других бюджетов бюджетной системы Российской Федерации на 2019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>5808,7</w:t>
      </w:r>
      <w:r w:rsidRPr="00CE683E">
        <w:t xml:space="preserve"> тыс. рублей до </w:t>
      </w:r>
      <w:r>
        <w:t>16483,4</w:t>
      </w:r>
      <w:r w:rsidRPr="00CE683E">
        <w:t xml:space="preserve"> тыс. рублей.</w:t>
      </w:r>
    </w:p>
    <w:p w:rsidR="00867872" w:rsidRDefault="00867872" w:rsidP="00526F4D">
      <w:pPr>
        <w:pStyle w:val="BodyTextIndent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867872" w:rsidRDefault="00867872" w:rsidP="00526F4D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6 «Распределение бюджетных ассигнований по целевым статьям (муниципальной программы Батуринского сельского поселения и не 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 год» увеличен объем бюджетных ассигнований на сумму 10674,7 тыс. рублей и составит 18089,4 тыс. рублей;</w:t>
      </w:r>
    </w:p>
    <w:p w:rsidR="00867872" w:rsidRDefault="00867872" w:rsidP="00526F4D">
      <w:pPr>
        <w:pStyle w:val="BodyTextIndent"/>
        <w:spacing w:after="0"/>
        <w:ind w:left="0" w:firstLine="510"/>
        <w:jc w:val="both"/>
      </w:pPr>
      <w:r>
        <w:t>- в приложение 9 «Перечень и объемы финансирования муниципальных программ на 2019 год и плановый период 2020 и 2021 годов», увеличен объем финансирования муниципальной программы «Создание условий для развития Батуринского сельского поселения на 2019-2024 годы» на 4326,4 тыс. рублей и составит 10592,4 тыс. рублей.</w:t>
      </w:r>
    </w:p>
    <w:p w:rsidR="00867872" w:rsidRPr="00F6474A" w:rsidRDefault="00867872" w:rsidP="00526F4D">
      <w:pPr>
        <w:pStyle w:val="BodyTextIndent"/>
        <w:spacing w:after="0"/>
        <w:ind w:left="0" w:firstLine="510"/>
        <w:jc w:val="both"/>
        <w:rPr>
          <w:b/>
        </w:rPr>
      </w:pPr>
      <w:r>
        <w:t>Согласно приложению № 6 к проекту решения вносятся изменения в приложение № 8 «Объем иных межбюджетных трансфертов из бюджета муниципального образования «Батуринское сельское поселение» бюджету муниципального образования «Асиновский район» на 2019 год, плановый период 2020 год 2021 года», в части увеличения в 2019 году объема межбюджетного трансферта, бюджету «Асиновский район» с 20,0 тыс. рублей до 24,0 тыс. рублей.</w:t>
      </w:r>
    </w:p>
    <w:p w:rsidR="00867872" w:rsidRDefault="00867872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год,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867872" w:rsidRDefault="00867872" w:rsidP="004F6F43"/>
    <w:p w:rsidR="00867872" w:rsidRPr="00CB7A5F" w:rsidRDefault="00867872" w:rsidP="00895B56">
      <w:pPr>
        <w:spacing w:line="288" w:lineRule="auto"/>
      </w:pPr>
    </w:p>
    <w:p w:rsidR="00867872" w:rsidRDefault="00867872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867872" w:rsidRPr="005148D9" w:rsidRDefault="00867872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867872" w:rsidRPr="005148D9" w:rsidRDefault="00867872" w:rsidP="00895B56">
      <w:pPr>
        <w:rPr>
          <w:sz w:val="16"/>
          <w:szCs w:val="16"/>
        </w:rPr>
      </w:pPr>
    </w:p>
    <w:p w:rsidR="00867872" w:rsidRDefault="00867872" w:rsidP="00895B56"/>
    <w:sectPr w:rsidR="00867872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72" w:rsidRDefault="00867872">
      <w:r>
        <w:separator/>
      </w:r>
    </w:p>
  </w:endnote>
  <w:endnote w:type="continuationSeparator" w:id="1">
    <w:p w:rsidR="00867872" w:rsidRDefault="0086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72" w:rsidRDefault="00867872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872" w:rsidRDefault="00867872" w:rsidP="0067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72" w:rsidRDefault="00867872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67872" w:rsidRDefault="00867872" w:rsidP="00672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72" w:rsidRDefault="00867872">
      <w:r>
        <w:separator/>
      </w:r>
    </w:p>
  </w:footnote>
  <w:footnote w:type="continuationSeparator" w:id="1">
    <w:p w:rsidR="00867872" w:rsidRDefault="0086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62DC3"/>
    <w:rsid w:val="00063A35"/>
    <w:rsid w:val="00065891"/>
    <w:rsid w:val="00074FDE"/>
    <w:rsid w:val="0007755F"/>
    <w:rsid w:val="000944A1"/>
    <w:rsid w:val="000946FD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104EE2"/>
    <w:rsid w:val="00117D99"/>
    <w:rsid w:val="00131081"/>
    <w:rsid w:val="0013110B"/>
    <w:rsid w:val="00132800"/>
    <w:rsid w:val="00143577"/>
    <w:rsid w:val="00145C57"/>
    <w:rsid w:val="00172E26"/>
    <w:rsid w:val="001865FF"/>
    <w:rsid w:val="00194FA7"/>
    <w:rsid w:val="00196AF0"/>
    <w:rsid w:val="001A26A6"/>
    <w:rsid w:val="001B24F9"/>
    <w:rsid w:val="001D3C98"/>
    <w:rsid w:val="001E233B"/>
    <w:rsid w:val="001F597D"/>
    <w:rsid w:val="002017E6"/>
    <w:rsid w:val="00214366"/>
    <w:rsid w:val="00224B46"/>
    <w:rsid w:val="0025420B"/>
    <w:rsid w:val="00257836"/>
    <w:rsid w:val="0027410A"/>
    <w:rsid w:val="002863DD"/>
    <w:rsid w:val="00286E28"/>
    <w:rsid w:val="00293029"/>
    <w:rsid w:val="0029662A"/>
    <w:rsid w:val="002A6B4C"/>
    <w:rsid w:val="002B398D"/>
    <w:rsid w:val="002C3F98"/>
    <w:rsid w:val="002D1903"/>
    <w:rsid w:val="002F049A"/>
    <w:rsid w:val="002F26F4"/>
    <w:rsid w:val="002F4BCF"/>
    <w:rsid w:val="00310621"/>
    <w:rsid w:val="00314B62"/>
    <w:rsid w:val="00315EFB"/>
    <w:rsid w:val="00331AF8"/>
    <w:rsid w:val="00335BE0"/>
    <w:rsid w:val="003414F7"/>
    <w:rsid w:val="003513D9"/>
    <w:rsid w:val="003606B7"/>
    <w:rsid w:val="00375AF9"/>
    <w:rsid w:val="00385EE7"/>
    <w:rsid w:val="003A1E66"/>
    <w:rsid w:val="003B0A2C"/>
    <w:rsid w:val="003B7431"/>
    <w:rsid w:val="003D424D"/>
    <w:rsid w:val="003D607B"/>
    <w:rsid w:val="003F2237"/>
    <w:rsid w:val="00404519"/>
    <w:rsid w:val="004057D7"/>
    <w:rsid w:val="00407BAA"/>
    <w:rsid w:val="00412A0D"/>
    <w:rsid w:val="00412E34"/>
    <w:rsid w:val="00476D39"/>
    <w:rsid w:val="00484A99"/>
    <w:rsid w:val="00493BDB"/>
    <w:rsid w:val="00493E07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6F4D"/>
    <w:rsid w:val="00530307"/>
    <w:rsid w:val="0053039C"/>
    <w:rsid w:val="00533891"/>
    <w:rsid w:val="00536F8E"/>
    <w:rsid w:val="005457BD"/>
    <w:rsid w:val="00550187"/>
    <w:rsid w:val="00580845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E4FC5"/>
    <w:rsid w:val="00605934"/>
    <w:rsid w:val="00616504"/>
    <w:rsid w:val="00645584"/>
    <w:rsid w:val="00650CA9"/>
    <w:rsid w:val="00657DFB"/>
    <w:rsid w:val="00665DD8"/>
    <w:rsid w:val="00672480"/>
    <w:rsid w:val="006879B1"/>
    <w:rsid w:val="0069535F"/>
    <w:rsid w:val="006A3D94"/>
    <w:rsid w:val="006A6476"/>
    <w:rsid w:val="006B69E2"/>
    <w:rsid w:val="006C5071"/>
    <w:rsid w:val="006D7EDC"/>
    <w:rsid w:val="006E7813"/>
    <w:rsid w:val="006F4C04"/>
    <w:rsid w:val="006F5D7F"/>
    <w:rsid w:val="006F77C6"/>
    <w:rsid w:val="006F7DE7"/>
    <w:rsid w:val="007050B1"/>
    <w:rsid w:val="00737685"/>
    <w:rsid w:val="007617A7"/>
    <w:rsid w:val="007718F9"/>
    <w:rsid w:val="00774DE4"/>
    <w:rsid w:val="007838F2"/>
    <w:rsid w:val="00786D88"/>
    <w:rsid w:val="007A0BD4"/>
    <w:rsid w:val="007D030E"/>
    <w:rsid w:val="007D6EC9"/>
    <w:rsid w:val="007E76B1"/>
    <w:rsid w:val="007E79F3"/>
    <w:rsid w:val="007F08B9"/>
    <w:rsid w:val="0080144D"/>
    <w:rsid w:val="00811946"/>
    <w:rsid w:val="00813BAA"/>
    <w:rsid w:val="00813FC9"/>
    <w:rsid w:val="00834215"/>
    <w:rsid w:val="008374BD"/>
    <w:rsid w:val="0085095F"/>
    <w:rsid w:val="00850EC2"/>
    <w:rsid w:val="00856056"/>
    <w:rsid w:val="0086134B"/>
    <w:rsid w:val="00862422"/>
    <w:rsid w:val="00862CF1"/>
    <w:rsid w:val="00867872"/>
    <w:rsid w:val="00870E33"/>
    <w:rsid w:val="008756E4"/>
    <w:rsid w:val="008761C1"/>
    <w:rsid w:val="00884C55"/>
    <w:rsid w:val="00893E35"/>
    <w:rsid w:val="00894A2C"/>
    <w:rsid w:val="00895B56"/>
    <w:rsid w:val="008B64C9"/>
    <w:rsid w:val="008C69B7"/>
    <w:rsid w:val="008E4729"/>
    <w:rsid w:val="008F05B6"/>
    <w:rsid w:val="008F3A7B"/>
    <w:rsid w:val="009008D1"/>
    <w:rsid w:val="00916F04"/>
    <w:rsid w:val="009171A1"/>
    <w:rsid w:val="009207D5"/>
    <w:rsid w:val="0093340C"/>
    <w:rsid w:val="00941C0E"/>
    <w:rsid w:val="00943084"/>
    <w:rsid w:val="00954D85"/>
    <w:rsid w:val="00956DD4"/>
    <w:rsid w:val="00960FBB"/>
    <w:rsid w:val="009662A8"/>
    <w:rsid w:val="00977193"/>
    <w:rsid w:val="00982EB8"/>
    <w:rsid w:val="00990C39"/>
    <w:rsid w:val="009A0B5D"/>
    <w:rsid w:val="009A4C80"/>
    <w:rsid w:val="009A6AD3"/>
    <w:rsid w:val="009B385C"/>
    <w:rsid w:val="009B7062"/>
    <w:rsid w:val="009D18A9"/>
    <w:rsid w:val="009E167F"/>
    <w:rsid w:val="009F39F0"/>
    <w:rsid w:val="009F62E2"/>
    <w:rsid w:val="009F7018"/>
    <w:rsid w:val="00A031C3"/>
    <w:rsid w:val="00A032F5"/>
    <w:rsid w:val="00A13ED5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D7D7B"/>
    <w:rsid w:val="00AE2B27"/>
    <w:rsid w:val="00B077D5"/>
    <w:rsid w:val="00B105D6"/>
    <w:rsid w:val="00B22DBD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75158"/>
    <w:rsid w:val="00B84357"/>
    <w:rsid w:val="00BA09CA"/>
    <w:rsid w:val="00BA106A"/>
    <w:rsid w:val="00BA63EA"/>
    <w:rsid w:val="00BC46A8"/>
    <w:rsid w:val="00BD6D58"/>
    <w:rsid w:val="00BD75B3"/>
    <w:rsid w:val="00BD75EC"/>
    <w:rsid w:val="00BE23F7"/>
    <w:rsid w:val="00BF2F06"/>
    <w:rsid w:val="00BF793E"/>
    <w:rsid w:val="00C01166"/>
    <w:rsid w:val="00C12E04"/>
    <w:rsid w:val="00C30BCA"/>
    <w:rsid w:val="00C363DD"/>
    <w:rsid w:val="00C53E23"/>
    <w:rsid w:val="00C55F4C"/>
    <w:rsid w:val="00C57027"/>
    <w:rsid w:val="00C853F8"/>
    <w:rsid w:val="00C91ABB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E0E"/>
    <w:rsid w:val="00D245FB"/>
    <w:rsid w:val="00D32B8A"/>
    <w:rsid w:val="00D337EF"/>
    <w:rsid w:val="00D575A0"/>
    <w:rsid w:val="00D61870"/>
    <w:rsid w:val="00D627E4"/>
    <w:rsid w:val="00D766FF"/>
    <w:rsid w:val="00D80EDF"/>
    <w:rsid w:val="00D83DBC"/>
    <w:rsid w:val="00D9734F"/>
    <w:rsid w:val="00D97F98"/>
    <w:rsid w:val="00DE69B0"/>
    <w:rsid w:val="00E16191"/>
    <w:rsid w:val="00E16794"/>
    <w:rsid w:val="00E178B6"/>
    <w:rsid w:val="00E257D6"/>
    <w:rsid w:val="00E30D8E"/>
    <w:rsid w:val="00E33033"/>
    <w:rsid w:val="00E361E7"/>
    <w:rsid w:val="00E44A9C"/>
    <w:rsid w:val="00E47506"/>
    <w:rsid w:val="00E53652"/>
    <w:rsid w:val="00E704DD"/>
    <w:rsid w:val="00E71130"/>
    <w:rsid w:val="00E726CD"/>
    <w:rsid w:val="00E801D4"/>
    <w:rsid w:val="00E90879"/>
    <w:rsid w:val="00EB1EE9"/>
    <w:rsid w:val="00EB6420"/>
    <w:rsid w:val="00ED1BDA"/>
    <w:rsid w:val="00ED3B3C"/>
    <w:rsid w:val="00ED7191"/>
    <w:rsid w:val="00EE3822"/>
    <w:rsid w:val="00EF1E8A"/>
    <w:rsid w:val="00EF6A67"/>
    <w:rsid w:val="00F05A20"/>
    <w:rsid w:val="00F11D80"/>
    <w:rsid w:val="00F20979"/>
    <w:rsid w:val="00F313A6"/>
    <w:rsid w:val="00F37B1C"/>
    <w:rsid w:val="00F45CC6"/>
    <w:rsid w:val="00F46A13"/>
    <w:rsid w:val="00F57901"/>
    <w:rsid w:val="00F6474A"/>
    <w:rsid w:val="00F674FE"/>
    <w:rsid w:val="00F7035A"/>
    <w:rsid w:val="00F77BE0"/>
    <w:rsid w:val="00F97D45"/>
    <w:rsid w:val="00FC6C9C"/>
    <w:rsid w:val="00FE0244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9F"/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</TotalTime>
  <Pages>4</Pages>
  <Words>1228</Words>
  <Characters>7002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42</cp:revision>
  <cp:lastPrinted>2018-02-02T01:35:00Z</cp:lastPrinted>
  <dcterms:created xsi:type="dcterms:W3CDTF">2018-11-12T09:26:00Z</dcterms:created>
  <dcterms:modified xsi:type="dcterms:W3CDTF">2019-03-19T07:09:00Z</dcterms:modified>
</cp:coreProperties>
</file>