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СВОДНЫЙ ОТЧЕТ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5"/>
        <w:gridCol w:w="2273"/>
        <w:gridCol w:w="1835"/>
        <w:gridCol w:w="1701"/>
        <w:gridCol w:w="1984"/>
        <w:gridCol w:w="1379"/>
        <w:gridCol w:w="144"/>
      </w:tblGrid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42A" w:rsidRPr="00DA042A" w:rsidRDefault="00332310" w:rsidP="003323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Думы Асиновского района «</w:t>
            </w:r>
            <w:r w:rsid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E032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ЖКХ, строительства и транспорта администрации Асиновского района</w:t>
            </w:r>
          </w:p>
          <w:p w:rsidR="00DA042A" w:rsidRPr="00DA042A" w:rsidRDefault="00E0320E" w:rsidP="00E032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A042A"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Рязанова Марина Михайловна, Тихонова Екатерина Викторовна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главный специалис</w:t>
            </w:r>
            <w:r w:rsidR="00E032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 по градостроительной деятельн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ости и дорожному хозяйству, главный специалист по транспорту, отдела Ж</w:t>
            </w:r>
            <w:proofErr w:type="gramStart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КХ стр</w:t>
            </w:r>
            <w:proofErr w:type="gramEnd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оительства и транспорта администрации Асиновского района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Тел: 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 38 241 (2-20-98)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asino</w:t>
            </w:r>
            <w:proofErr w:type="spellEnd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asino</w:t>
            </w:r>
            <w:proofErr w:type="spellEnd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tomsknet</w:t>
            </w:r>
            <w:proofErr w:type="spellEnd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имени Ленина, д.40, г. Асино, Томская область, 636840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</w:t>
            </w:r>
            <w:r w:rsidRPr="004154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высокая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154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D6D8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052FC6" w:rsidRDefault="00DA042A" w:rsidP="00D30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11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42A" w:rsidRPr="00DA042A" w:rsidRDefault="00113B0C" w:rsidP="008F76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нормативного правового акта содержит положени</w:t>
            </w:r>
            <w:r w:rsidR="008F76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устанавливающи</w:t>
            </w:r>
            <w:r w:rsidR="008F763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не предусмотренны</w:t>
            </w:r>
            <w:r w:rsidR="008F763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иными нормативными правовыми актами обязанност</w:t>
            </w:r>
            <w:r w:rsidR="008F76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запрет</w:t>
            </w:r>
            <w:r w:rsidR="008F763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ограничени</w:t>
            </w:r>
            <w:r w:rsidR="008F7632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физических и юридических лиц в сфере предпринимательской деятельности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052FC6" w:rsidRPr="00DA042A" w:rsidRDefault="00332310" w:rsidP="003323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разработан </w:t>
            </w:r>
            <w:r w:rsidR="00052F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исполнение </w:t>
            </w:r>
            <w:r w:rsidR="0005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Федерального закона от 31.07.2020 № 248-ФЗ « О государственном контроле (надзоре) и муниципальном контроле в Российской Федерации».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2D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0" w:rsidRDefault="00DA042A" w:rsidP="002D1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2D1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42A" w:rsidRPr="00DA042A" w:rsidRDefault="002D1BD7" w:rsidP="003323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муниципальном контроле на автомобильном транспорте, городском наземном электрическом транспорте и дорожном хозяйстве </w:t>
            </w:r>
            <w:r w:rsidR="003323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деятельности контрольных (надзорных) органов направленной на предупреждение, выявление и пресечение нарушений обязательных требований</w:t>
            </w:r>
            <w:r w:rsidR="00332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0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DA042A" w:rsidRPr="00DA042A" w:rsidRDefault="002D1BD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31.07.2020 № 248 - ФЗ «О государственном контроле (надзоре) и муниципальном контроле в Российской Федерации</w:t>
            </w:r>
            <w:r w:rsidR="00A307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02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юридические лица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02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  <w:p w:rsidR="00DA042A" w:rsidRPr="00DA042A" w:rsidRDefault="00020CCE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физические лица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02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7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02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78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A66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A6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осуществление муниципального контроля в сфере автомобильного транспорта, городского наземного электрического транспорта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0" w:rsidRDefault="00DA042A" w:rsidP="00A66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6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42A" w:rsidRPr="00591CFC" w:rsidRDefault="00A71650" w:rsidP="009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(надзорных) мероприятий в сфере автомобильного транспорта, городского наземного электрического транспорта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A6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A6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A6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A6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A667A0" w:rsidRPr="00DA042A" w:rsidRDefault="00A667A0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</w:t>
            </w:r>
            <w:r w:rsidR="00E03689">
              <w:rPr>
                <w:rFonts w:ascii="Times New Roman" w:eastAsia="Times New Roman" w:hAnsi="Times New Roman" w:cs="Times New Roman"/>
                <w:sz w:val="24"/>
                <w:szCs w:val="24"/>
              </w:rPr>
              <w:t>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E03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выявлены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9" w:rsidRDefault="00DA042A" w:rsidP="00E036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color w:val="000000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042A" w:rsidRPr="00DA042A" w:rsidRDefault="00E03689" w:rsidP="00E036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подготовки ежегодных докладов о муниципальном контроле.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DA042A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4E7" w:rsidRPr="00DA042A" w:rsidTr="00B554E7">
        <w:tc>
          <w:tcPr>
            <w:tcW w:w="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E0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E0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E03689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DA042A" w:rsidRDefault="00DA042A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42A" w:rsidRPr="00DA042A" w:rsidRDefault="00DA042A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4E7" w:rsidRPr="00DA042A" w:rsidTr="00B554E7">
        <w:tc>
          <w:tcPr>
            <w:tcW w:w="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4E7" w:rsidRPr="00DA042A" w:rsidRDefault="00B554E7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6C25D7" w:rsidRDefault="00B554E7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на официальном сайте муниципального образования «Асиновский район» </w:t>
            </w:r>
            <w:hyperlink r:id="rId8" w:history="1">
              <w:r w:rsidRPr="00CE65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65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65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asino</w:t>
              </w:r>
              <w:proofErr w:type="spellEnd"/>
              <w:r w:rsidRPr="00CE65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65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количества нарушений обязательных требований, установленных нормативными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4E7" w:rsidRPr="00DA042A" w:rsidRDefault="00B554E7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4E7" w:rsidRPr="00DA042A" w:rsidTr="00B554E7">
        <w:tc>
          <w:tcPr>
            <w:tcW w:w="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4E7" w:rsidRPr="00DA042A" w:rsidRDefault="00B554E7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униципальными правовыми актами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B5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количества нарушений обязательных требований, установленных нормативными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4E7" w:rsidRPr="00DA042A" w:rsidRDefault="00B554E7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4E7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4E7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отношения:</w:t>
            </w: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03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E03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B554E7" w:rsidRPr="00DA042A" w:rsidTr="00B554E7">
        <w:trPr>
          <w:gridAfter w:val="1"/>
          <w:wAfter w:w="144" w:type="dxa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B554E7" w:rsidRDefault="009440D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554E7" w:rsidRPr="009B36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07 2021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08 2021</w:t>
            </w: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54E7" w:rsidRPr="00DA042A" w:rsidRDefault="00B554E7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B554E7" w:rsidRDefault="005133FE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  <w:p w:rsidR="0050326C" w:rsidRDefault="0050326C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B67C95">
              <w:rPr>
                <w:rFonts w:ascii="Times New Roman" w:hAnsi="Times New Roman"/>
                <w:sz w:val="24"/>
                <w:szCs w:val="24"/>
              </w:rPr>
              <w:t>Оценка воздействия предлагаемого правового регулирования на состояние конкуренции.</w:t>
            </w:r>
          </w:p>
          <w:p w:rsidR="005133FE" w:rsidRPr="00DA042A" w:rsidRDefault="002F1472" w:rsidP="00DA04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Предлагаемый нормативный правовой акт не влияет на состояние конкуренции</w:t>
            </w:r>
          </w:p>
        </w:tc>
      </w:tr>
    </w:tbl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B554E7" w:rsidRPr="00DA042A" w:rsidRDefault="00B554E7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EDA" w:rsidRDefault="001C2F03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</w:t>
      </w:r>
      <w:r w:rsidR="00234189" w:rsidRPr="00044F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С.В. </w:t>
      </w:r>
      <w:r w:rsidRPr="00044F6F">
        <w:rPr>
          <w:rFonts w:ascii="Times New Roman" w:eastAsia="Times New Roman" w:hAnsi="Times New Roman" w:cs="Times New Roman"/>
          <w:sz w:val="24"/>
          <w:szCs w:val="24"/>
          <w:u w:val="single"/>
        </w:rPr>
        <w:t>Прохоренко</w:t>
      </w:r>
      <w:r w:rsidR="00234189" w:rsidRPr="00044F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341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DA" w:rsidRPr="00272EDA">
        <w:rPr>
          <w:rFonts w:ascii="Times New Roman" w:eastAsia="Times New Roman" w:hAnsi="Times New Roman" w:cs="Times New Roman"/>
          <w:sz w:val="24"/>
          <w:szCs w:val="24"/>
          <w:u w:val="single"/>
        </w:rPr>
        <w:t>02.09.2021 г.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042A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                   (Ф.И.О.)  </w:t>
      </w:r>
      <w:r w:rsidR="001C2F0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DA042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C2F0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A042A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A18" w:rsidRPr="00DA042A" w:rsidRDefault="00030A18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Default="00DA042A" w:rsidP="0046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212" w:rsidRPr="00DA042A" w:rsidRDefault="00462212" w:rsidP="0046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03" w:rsidRDefault="001C2F03" w:rsidP="00DA04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Приложение к Сводному отчету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проекта  нормативного правового акта</w:t>
      </w:r>
    </w:p>
    <w:p w:rsidR="00DA042A" w:rsidRPr="00DA042A" w:rsidRDefault="00DA042A" w:rsidP="00DA0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42A" w:rsidRPr="00DA042A" w:rsidRDefault="00DA042A" w:rsidP="00DA0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акта:</w:t>
      </w:r>
      <w:r w:rsidR="001C2F03" w:rsidRPr="001C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F03">
        <w:rPr>
          <w:rFonts w:ascii="Times New Roman" w:eastAsia="Times New Roman" w:hAnsi="Times New Roman" w:cs="Times New Roman"/>
          <w:sz w:val="24"/>
          <w:szCs w:val="24"/>
        </w:rPr>
        <w:t>Проект Решения Думы Асиновского района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2A" w:rsidRPr="00DA042A" w:rsidRDefault="00DA042A" w:rsidP="00DA0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публичного обсуждения:</w:t>
      </w:r>
      <w:r w:rsidR="001C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29.07.2021 по 27.08.2021</w:t>
      </w: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2A" w:rsidRPr="00DA042A" w:rsidRDefault="00DA042A" w:rsidP="00DA0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экспертов, участвовавших в обсуждении</w:t>
      </w:r>
      <w:r w:rsidR="001C2F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2A" w:rsidRPr="00DA042A" w:rsidRDefault="00DA042A" w:rsidP="00DA0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DA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1C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</w:t>
      </w:r>
      <w:r w:rsidRPr="00DA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2A" w:rsidRPr="00DA042A" w:rsidRDefault="00DA042A" w:rsidP="00DA0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DA042A" w:rsidRPr="00DA042A" w:rsidTr="00113B0C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A042A" w:rsidRPr="00DA042A" w:rsidTr="00113B0C">
        <w:trPr>
          <w:trHeight w:val="260"/>
        </w:trPr>
        <w:tc>
          <w:tcPr>
            <w:tcW w:w="675" w:type="dxa"/>
            <w:tcMar>
              <w:left w:w="107" w:type="dxa"/>
            </w:tcMar>
            <w:vAlign w:val="center"/>
          </w:tcPr>
          <w:p w:rsidR="00DA042A" w:rsidRPr="00DA042A" w:rsidRDefault="00234189" w:rsidP="0023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Mar>
              <w:left w:w="107" w:type="dxa"/>
            </w:tcMar>
          </w:tcPr>
          <w:p w:rsidR="00DA042A" w:rsidRPr="00DA042A" w:rsidRDefault="001C2F03" w:rsidP="001C2F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374" w:type="dxa"/>
            <w:tcMar>
              <w:left w:w="107" w:type="dxa"/>
            </w:tcMar>
            <w:vAlign w:val="center"/>
          </w:tcPr>
          <w:p w:rsidR="00DA042A" w:rsidRPr="001C2F03" w:rsidRDefault="001C2F03" w:rsidP="0023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2F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Дополнить пункт 29 Проекта</w:t>
            </w:r>
            <w:r w:rsidR="002341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включить в  проект порядок фотосъемки, аудио- и видеозаписи.</w:t>
            </w:r>
          </w:p>
        </w:tc>
        <w:tc>
          <w:tcPr>
            <w:tcW w:w="3098" w:type="dxa"/>
            <w:tcMar>
              <w:left w:w="107" w:type="dxa"/>
            </w:tcMar>
            <w:vAlign w:val="center"/>
          </w:tcPr>
          <w:p w:rsidR="00DA042A" w:rsidRPr="00DA042A" w:rsidRDefault="001C2F03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 участника обсуждения учтены</w:t>
            </w:r>
            <w:r w:rsidR="002341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A042A" w:rsidRPr="00DA042A" w:rsidTr="00113B0C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tcMar>
              <w:left w:w="107" w:type="dxa"/>
            </w:tcMar>
            <w:vAlign w:val="center"/>
          </w:tcPr>
          <w:p w:rsidR="00DA042A" w:rsidRPr="00DA042A" w:rsidRDefault="00C104A7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A042A" w:rsidRPr="00DA042A" w:rsidTr="00113B0C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tcMar>
              <w:left w:w="107" w:type="dxa"/>
            </w:tcMar>
            <w:vAlign w:val="center"/>
          </w:tcPr>
          <w:p w:rsidR="00DA042A" w:rsidRPr="00DA042A" w:rsidRDefault="00C104A7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A042A" w:rsidRPr="00DA042A" w:rsidTr="00113B0C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tcMar>
              <w:left w:w="107" w:type="dxa"/>
            </w:tcMar>
            <w:vAlign w:val="center"/>
          </w:tcPr>
          <w:p w:rsidR="00DA042A" w:rsidRPr="00DA042A" w:rsidRDefault="00234189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DA042A" w:rsidRPr="00DA042A" w:rsidTr="00113B0C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DA042A" w:rsidRPr="00DA042A" w:rsidRDefault="00DA042A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tcMar>
              <w:left w:w="107" w:type="dxa"/>
            </w:tcMar>
            <w:vAlign w:val="center"/>
          </w:tcPr>
          <w:p w:rsidR="00DA042A" w:rsidRPr="00DA042A" w:rsidRDefault="00234189" w:rsidP="00DA042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34189" w:rsidRPr="00DA042A" w:rsidRDefault="00234189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 xml:space="preserve">____________     </w:t>
      </w:r>
      <w:r w:rsidR="002341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34189" w:rsidRPr="00044F6F">
        <w:rPr>
          <w:rFonts w:ascii="Times New Roman" w:eastAsia="Times New Roman" w:hAnsi="Times New Roman" w:cs="Times New Roman"/>
          <w:sz w:val="24"/>
          <w:szCs w:val="24"/>
          <w:u w:val="single"/>
        </w:rPr>
        <w:t>С.В. Прохоренко.</w:t>
      </w:r>
      <w:r w:rsidRPr="00DA042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341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440D7" w:rsidRPr="009440D7">
        <w:rPr>
          <w:rFonts w:ascii="Times New Roman" w:eastAsia="Times New Roman" w:hAnsi="Times New Roman" w:cs="Times New Roman"/>
          <w:sz w:val="24"/>
          <w:szCs w:val="24"/>
          <w:u w:val="single"/>
        </w:rPr>
        <w:t>02.09.2021 г.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A04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A042A">
        <w:rPr>
          <w:rFonts w:ascii="Times New Roman" w:eastAsia="Times New Roman" w:hAnsi="Times New Roman" w:cs="Times New Roman"/>
          <w:sz w:val="20"/>
          <w:szCs w:val="24"/>
        </w:rPr>
        <w:t xml:space="preserve">(подпись)                                (Ф.И.О.)                        </w:t>
      </w:r>
      <w:r w:rsidR="009440D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</w:t>
      </w:r>
      <w:r w:rsidRPr="00DA042A">
        <w:rPr>
          <w:rFonts w:ascii="Times New Roman" w:eastAsia="Times New Roman" w:hAnsi="Times New Roman" w:cs="Times New Roman"/>
          <w:sz w:val="20"/>
          <w:szCs w:val="24"/>
        </w:rPr>
        <w:t xml:space="preserve"> (дата)</w:t>
      </w: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DA0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042A" w:rsidRPr="00DA042A" w:rsidRDefault="00DA042A" w:rsidP="00044F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42A" w:rsidRPr="00DA042A" w:rsidSect="00113B0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6C" w:rsidRDefault="0050326C">
      <w:pPr>
        <w:spacing w:after="0" w:line="240" w:lineRule="auto"/>
      </w:pPr>
      <w:r>
        <w:separator/>
      </w:r>
    </w:p>
  </w:endnote>
  <w:endnote w:type="continuationSeparator" w:id="0">
    <w:p w:rsidR="0050326C" w:rsidRDefault="0050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6C" w:rsidRDefault="0050326C">
      <w:pPr>
        <w:spacing w:after="0" w:line="240" w:lineRule="auto"/>
      </w:pPr>
      <w:r>
        <w:separator/>
      </w:r>
    </w:p>
  </w:footnote>
  <w:footnote w:type="continuationSeparator" w:id="0">
    <w:p w:rsidR="0050326C" w:rsidRDefault="0050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6C" w:rsidRDefault="0050326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A3AD7" wp14:editId="6D601269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6C" w:rsidRPr="00F22F1B" w:rsidRDefault="0050326C" w:rsidP="00113B0C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1C2F03" w:rsidRPr="00F22F1B" w:rsidRDefault="001C2F03" w:rsidP="00113B0C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4"/>
    <w:rsid w:val="00020CCE"/>
    <w:rsid w:val="00030A18"/>
    <w:rsid w:val="00044F6F"/>
    <w:rsid w:val="00052FC6"/>
    <w:rsid w:val="00113B0C"/>
    <w:rsid w:val="001C2F03"/>
    <w:rsid w:val="00234189"/>
    <w:rsid w:val="00272EDA"/>
    <w:rsid w:val="002D1BD7"/>
    <w:rsid w:val="002F1472"/>
    <w:rsid w:val="00332310"/>
    <w:rsid w:val="003C7C64"/>
    <w:rsid w:val="00415400"/>
    <w:rsid w:val="00462212"/>
    <w:rsid w:val="004D0DA7"/>
    <w:rsid w:val="0050326C"/>
    <w:rsid w:val="005133FE"/>
    <w:rsid w:val="00591CFC"/>
    <w:rsid w:val="008F7632"/>
    <w:rsid w:val="009440D7"/>
    <w:rsid w:val="009C23E3"/>
    <w:rsid w:val="009C37F1"/>
    <w:rsid w:val="00A30783"/>
    <w:rsid w:val="00A667A0"/>
    <w:rsid w:val="00A71650"/>
    <w:rsid w:val="00AC603C"/>
    <w:rsid w:val="00AD6D83"/>
    <w:rsid w:val="00B554E7"/>
    <w:rsid w:val="00C104A7"/>
    <w:rsid w:val="00D275A7"/>
    <w:rsid w:val="00D30DD4"/>
    <w:rsid w:val="00DA042A"/>
    <w:rsid w:val="00DD143B"/>
    <w:rsid w:val="00E0320E"/>
    <w:rsid w:val="00E03689"/>
    <w:rsid w:val="00F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42A"/>
  </w:style>
  <w:style w:type="character" w:styleId="a5">
    <w:name w:val="Hyperlink"/>
    <w:basedOn w:val="a0"/>
    <w:uiPriority w:val="99"/>
    <w:unhideWhenUsed/>
    <w:rsid w:val="00E0368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3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310"/>
  </w:style>
  <w:style w:type="paragraph" w:styleId="a8">
    <w:name w:val="Balloon Text"/>
    <w:basedOn w:val="a"/>
    <w:link w:val="a9"/>
    <w:uiPriority w:val="99"/>
    <w:semiHidden/>
    <w:unhideWhenUsed/>
    <w:rsid w:val="004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42A"/>
  </w:style>
  <w:style w:type="character" w:styleId="a5">
    <w:name w:val="Hyperlink"/>
    <w:basedOn w:val="a0"/>
    <w:uiPriority w:val="99"/>
    <w:unhideWhenUsed/>
    <w:rsid w:val="00E0368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3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310"/>
  </w:style>
  <w:style w:type="paragraph" w:styleId="a8">
    <w:name w:val="Balloon Text"/>
    <w:basedOn w:val="a"/>
    <w:link w:val="a9"/>
    <w:uiPriority w:val="99"/>
    <w:semiHidden/>
    <w:unhideWhenUsed/>
    <w:rsid w:val="004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ino.ru/content/pub_zaklyucheniya_ob_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Екатерина Викторовна</dc:creator>
  <cp:lastModifiedBy>Какорина Ольга Анатольевна</cp:lastModifiedBy>
  <cp:revision>4</cp:revision>
  <cp:lastPrinted>2021-09-02T08:17:00Z</cp:lastPrinted>
  <dcterms:created xsi:type="dcterms:W3CDTF">2021-09-07T06:22:00Z</dcterms:created>
  <dcterms:modified xsi:type="dcterms:W3CDTF">2021-09-07T08:02:00Z</dcterms:modified>
</cp:coreProperties>
</file>