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7A" w:rsidRPr="005A3CE4" w:rsidRDefault="00C1647A" w:rsidP="00C1647A">
      <w:pPr>
        <w:jc w:val="right"/>
        <w:rPr>
          <w:b/>
        </w:rPr>
      </w:pPr>
      <w:bookmarkStart w:id="0" w:name="_GoBack"/>
      <w:bookmarkEnd w:id="0"/>
    </w:p>
    <w:p w:rsidR="00C1647A" w:rsidRPr="005A3CE4" w:rsidRDefault="00C1647A" w:rsidP="00C1647A">
      <w:pPr>
        <w:rPr>
          <w:b/>
        </w:rPr>
      </w:pPr>
      <w:r w:rsidRPr="005A3CE4">
        <w:rPr>
          <w:b/>
        </w:rPr>
        <w:t xml:space="preserve">Сводная таблица </w:t>
      </w:r>
      <w:proofErr w:type="gramStart"/>
      <w:r w:rsidRPr="005A3CE4">
        <w:rPr>
          <w:b/>
        </w:rPr>
        <w:t>результатов проведения публичных консультаций постановления администрации</w:t>
      </w:r>
      <w:proofErr w:type="gramEnd"/>
      <w:r w:rsidRPr="005A3CE4">
        <w:rPr>
          <w:b/>
        </w:rPr>
        <w:t xml:space="preserve"> </w:t>
      </w:r>
      <w:proofErr w:type="spellStart"/>
      <w:r w:rsidRPr="005A3CE4">
        <w:rPr>
          <w:b/>
        </w:rPr>
        <w:t>Асиновского</w:t>
      </w:r>
      <w:proofErr w:type="spellEnd"/>
      <w:r w:rsidRPr="005A3CE4">
        <w:rPr>
          <w:b/>
        </w:rPr>
        <w:t xml:space="preserve"> района 08.10.2012 г №2338  «Об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w:t>
      </w:r>
    </w:p>
    <w:tbl>
      <w:tblPr>
        <w:tblStyle w:val="a6"/>
        <w:tblW w:w="0" w:type="auto"/>
        <w:tblLook w:val="04A0" w:firstRow="1" w:lastRow="0" w:firstColumn="1" w:lastColumn="0" w:noHBand="0" w:noVBand="1"/>
      </w:tblPr>
      <w:tblGrid>
        <w:gridCol w:w="2943"/>
        <w:gridCol w:w="8931"/>
        <w:gridCol w:w="2912"/>
      </w:tblGrid>
      <w:tr w:rsidR="00C1647A" w:rsidRPr="005A3CE4" w:rsidTr="0084288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7A" w:rsidRPr="005A3CE4" w:rsidRDefault="00C1647A" w:rsidP="00C1647A">
            <w:pPr>
              <w:rPr>
                <w:b/>
              </w:rPr>
            </w:pPr>
            <w:r w:rsidRPr="005A3CE4">
              <w:rPr>
                <w:b/>
              </w:rPr>
              <w:t xml:space="preserve">Наименование участника публичных консультаций </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7A" w:rsidRPr="005A3CE4" w:rsidRDefault="00C1647A" w:rsidP="00C1647A">
            <w:pPr>
              <w:rPr>
                <w:b/>
              </w:rPr>
            </w:pPr>
            <w:r w:rsidRPr="005A3CE4">
              <w:rPr>
                <w:b/>
              </w:rPr>
              <w:t xml:space="preserve">Предложения и замечания по постановлению администрации </w:t>
            </w:r>
            <w:proofErr w:type="spellStart"/>
            <w:r w:rsidRPr="005A3CE4">
              <w:rPr>
                <w:b/>
              </w:rPr>
              <w:t>Асиновского</w:t>
            </w:r>
            <w:proofErr w:type="spellEnd"/>
            <w:r w:rsidRPr="005A3CE4">
              <w:rPr>
                <w:b/>
              </w:rPr>
              <w:t xml:space="preserve"> района от 08.10.2012 г №2338</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7A" w:rsidRPr="005A3CE4" w:rsidRDefault="00C1647A" w:rsidP="00C1647A">
            <w:pPr>
              <w:rPr>
                <w:b/>
              </w:rPr>
            </w:pPr>
            <w:r w:rsidRPr="005A3CE4">
              <w:rPr>
                <w:b/>
              </w:rPr>
              <w:t xml:space="preserve">Сведения об учете предложений/ замечаний при подготовке заключения об экспертизе    постановления администрации </w:t>
            </w:r>
            <w:proofErr w:type="spellStart"/>
            <w:r w:rsidRPr="005A3CE4">
              <w:rPr>
                <w:b/>
              </w:rPr>
              <w:t>Асиновского</w:t>
            </w:r>
            <w:proofErr w:type="spellEnd"/>
            <w:r w:rsidRPr="005A3CE4">
              <w:rPr>
                <w:b/>
              </w:rPr>
              <w:t xml:space="preserve"> района  от 08.10.2012 г №2338</w:t>
            </w:r>
          </w:p>
        </w:tc>
      </w:tr>
      <w:tr w:rsidR="00C1647A" w:rsidRPr="005A3CE4" w:rsidTr="00842888">
        <w:trPr>
          <w:trHeight w:val="1074"/>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7A" w:rsidRPr="005A3CE4" w:rsidRDefault="00C1647A" w:rsidP="00C1647A">
            <w:pPr>
              <w:rPr>
                <w:b/>
              </w:rPr>
            </w:pPr>
            <w:r w:rsidRPr="005A3CE4">
              <w:rPr>
                <w:b/>
              </w:rPr>
              <w:t>Уполномоченный по защите прав предпринимателей в Томской области</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7A" w:rsidRPr="005A3CE4" w:rsidRDefault="00C1647A" w:rsidP="00C1647A">
            <w:r w:rsidRPr="005A3CE4">
              <w:t xml:space="preserve">1) Пунктом 33 Административного регламента предусмотрен перечень документов, прилагаемых к заявлению, в числе которых поименованы документы, имеющиеся только у заявителя и его представителей и документы, которые могут быть запрошены посредством межведомственного взаимодействия. При этом перечень является единым, отсутствует указание на то, какие документы заявители вправе не предоставлять. Это создает препятствия для реализации положений пункта 40 Административного регламента. Также отсутствие указания на то, какие документы из приведенного перечня заявитель вправе не предоставлять, создает дополнительные административные барьеры для заявителей, поскольку в соответствии с пунктом 103 Административного регламента </w:t>
            </w:r>
            <w:proofErr w:type="spellStart"/>
            <w:r w:rsidRPr="005A3CE4">
              <w:t>непредоставление</w:t>
            </w:r>
            <w:proofErr w:type="spellEnd"/>
            <w:r w:rsidRPr="005A3CE4">
              <w:t xml:space="preserve"> указанных документов влечет отказ в предоставлении муниципальной услуги.</w:t>
            </w:r>
          </w:p>
          <w:p w:rsidR="00C1647A" w:rsidRPr="005A3CE4" w:rsidRDefault="00C1647A" w:rsidP="00C1647A">
            <w:r w:rsidRPr="005A3CE4">
              <w:t xml:space="preserve">2) Пунктом 33 Административного регламента предусмотрено предоставление документов, удостоверяющих личность заявителя и его представителя, а также документа, подтверждающего полномочия представителя. Полагаем, что отсутствие указания на возможность предоставления копий документов может создать ситуацию, при которой у заявителя или его представителя будет истребован оригинал документа, удостоверяющего личность. Оригинал такого документа может быть потребован только для обозрения при условии его немедленного </w:t>
            </w:r>
            <w:r w:rsidRPr="005A3CE4">
              <w:lastRenderedPageBreak/>
              <w:t>возврата предъявившему лицу. Необходимость в предоставлении оригинала доверенности также отсутствует, предлагаем предусмотреть возможность предоставления копии доверенности.</w:t>
            </w:r>
          </w:p>
          <w:p w:rsidR="00C1647A" w:rsidRPr="005A3CE4" w:rsidRDefault="00C1647A" w:rsidP="00C1647A">
            <w:r w:rsidRPr="005A3CE4">
              <w:t>3) Согласно пункту 42 Административного регламента заявитель вправе представить указанные документы и информацию по собственной инициативе. Необходимо указать, какие именно документы и информацию со ссылкой на пункт Административного регламента или с указанием перечня таких документов.</w:t>
            </w:r>
          </w:p>
          <w:p w:rsidR="00C1647A" w:rsidRPr="005A3CE4" w:rsidRDefault="00C1647A" w:rsidP="00C1647A">
            <w:r w:rsidRPr="005A3CE4">
              <w:t xml:space="preserve">4) В соответствии с пунктом 103 Административного регламента основанием для отказа в предоставлении муниципальной услуги является </w:t>
            </w:r>
            <w:proofErr w:type="spellStart"/>
            <w:r w:rsidRPr="005A3CE4">
              <w:t>непредоставление</w:t>
            </w:r>
            <w:proofErr w:type="spellEnd"/>
            <w:r w:rsidRPr="005A3CE4">
              <w:t xml:space="preserve"> документов, предусмотренных пунктами 33 – 34 Административного регламента, тогда как пункт 34 не предусматривает предоставления документов, а уточняет положения пункта 32 Административного регламента. Предлагаем внести изменения. Кроме того, в пункте 33 регламента </w:t>
            </w:r>
            <w:proofErr w:type="gramStart"/>
            <w:r w:rsidRPr="005A3CE4">
              <w:t>указаны</w:t>
            </w:r>
            <w:proofErr w:type="gramEnd"/>
            <w:r w:rsidRPr="005A3CE4">
              <w:t xml:space="preserve"> в том числе документы, которые могут быть запрошены посредством межведомственного взаимодействия, </w:t>
            </w:r>
            <w:proofErr w:type="spellStart"/>
            <w:r w:rsidRPr="005A3CE4">
              <w:t>непредоставление</w:t>
            </w:r>
            <w:proofErr w:type="spellEnd"/>
            <w:r w:rsidRPr="005A3CE4">
              <w:t xml:space="preserve"> таких документов не может быть основанием для отказа в предоставлении муниципальной услуги.</w:t>
            </w:r>
          </w:p>
          <w:p w:rsidR="00C1647A" w:rsidRPr="005A3CE4" w:rsidRDefault="00C1647A" w:rsidP="00C1647A">
            <w:r w:rsidRPr="005A3CE4">
              <w:t xml:space="preserve">5) Согласно пункту 106 Административного регламента основанием для начала административной процедуры является предоставление документов, предусмотренных пунктом 40 Административного регламента, однако в пункте 40 перечень документов не предусмотрен, он предусмотрен в пунктах 32 и 33, в </w:t>
            </w:r>
            <w:proofErr w:type="gramStart"/>
            <w:r w:rsidRPr="005A3CE4">
              <w:t>связи</w:t>
            </w:r>
            <w:proofErr w:type="gramEnd"/>
            <w:r w:rsidRPr="005A3CE4">
              <w:t xml:space="preserve"> с чем необходимо внести изменения. Аналогичное замечание имеется к подпункту 1 пункта 44 Административного регламента.</w:t>
            </w:r>
          </w:p>
          <w:p w:rsidR="00C1647A" w:rsidRPr="005A3CE4" w:rsidRDefault="00C1647A" w:rsidP="00C1647A">
            <w:r w:rsidRPr="005A3CE4">
              <w:t xml:space="preserve">6) В подпункте 1 пункта 108 необходимо привести в соответствие </w:t>
            </w:r>
            <w:proofErr w:type="gramStart"/>
            <w:r w:rsidRPr="005A3CE4">
              <w:t>в</w:t>
            </w:r>
            <w:proofErr w:type="gramEnd"/>
            <w:r w:rsidRPr="005A3CE4">
              <w:t xml:space="preserve"> </w:t>
            </w:r>
            <w:proofErr w:type="gramStart"/>
            <w:r w:rsidRPr="005A3CE4">
              <w:t>действующим</w:t>
            </w:r>
            <w:proofErr w:type="gramEnd"/>
            <w:r w:rsidRPr="005A3CE4">
              <w:t xml:space="preserve"> законодательством наименование государственного реестра, содержащего сведения о правах на недвижимое имущество.</w:t>
            </w:r>
          </w:p>
          <w:p w:rsidR="00C1647A" w:rsidRPr="005A3CE4" w:rsidRDefault="00C1647A" w:rsidP="00C1647A">
            <w:r w:rsidRPr="005A3CE4">
              <w:t>7) Подпунктом 115 предусмотрено, что специалист, ответственный за подготовку документов «письменно согласовывает» представленную схему расположения земельного участка. Данная формулировка является некорректной для делового документа. Кроме того, не указано, каким образом осуществляется согласование (проставлением грифа, подготовкой отдельного документа о согласовании или иными способами). Необходимо устранить данный недостаток.</w:t>
            </w:r>
          </w:p>
          <w:p w:rsidR="00C1647A" w:rsidRPr="005A3CE4" w:rsidRDefault="00C1647A" w:rsidP="00C1647A">
            <w:r w:rsidRPr="005A3CE4">
              <w:lastRenderedPageBreak/>
              <w:t xml:space="preserve">8) Положения подпунктов 2-6 пункта 44 повторяют положения подпунктов 1-5 пункта 16 статьи 11.10 Земельного кодекса Российской Федерации. Установление данных оснований в муниципальном правовом акте свидетельствует о выходе органа местного самоуправления за пределы своих полномочий и является </w:t>
            </w:r>
            <w:proofErr w:type="spellStart"/>
            <w:r w:rsidRPr="005A3CE4">
              <w:t>коррупциогенным</w:t>
            </w:r>
            <w:proofErr w:type="spellEnd"/>
            <w:r w:rsidRPr="005A3CE4">
              <w:t xml:space="preserve"> фактором. Предлагаем сделать ссылку на пункт 15 статьи 11.10 ЗК РФ.</w:t>
            </w:r>
          </w:p>
          <w:p w:rsidR="00C1647A" w:rsidRPr="005A3CE4" w:rsidRDefault="00C1647A" w:rsidP="00C1647A">
            <w:r w:rsidRPr="005A3CE4">
              <w:t xml:space="preserve">9) Согласно п. 43 Административного регламента единственным основанием для отказа в приеме документов, необходимых для предоставления муниципальной услуги, является представление заявителем документов, имеющих подчистки, приписки, зачеркнутые слова, не оговоренные исправления, имеющих серьезные повреждения, не позволяющие однозначно истолковать их содержание. При этом разработчик не принял во внимание ситуацию, при которой с заявлением о получении муниципальной услуги обращается лицо, представляющее заявителя, но не наделенное соответствующими полномочиями, или срок </w:t>
            </w:r>
            <w:proofErr w:type="gramStart"/>
            <w:r w:rsidRPr="005A3CE4">
              <w:t>действия</w:t>
            </w:r>
            <w:proofErr w:type="gramEnd"/>
            <w:r w:rsidRPr="005A3CE4">
              <w:t xml:space="preserve"> доверенности которого истек. Полагаем, что указанные случаи являются основанием для отказа в приеме документов для предоставления муниципальной услуги без рассмотрения документов по существу. В настоящее время указанные случаи являются основанием для отказа в предоставлении муниципальной услуги (</w:t>
            </w:r>
            <w:proofErr w:type="spellStart"/>
            <w:r w:rsidRPr="005A3CE4">
              <w:t>пп</w:t>
            </w:r>
            <w:proofErr w:type="spellEnd"/>
            <w:r w:rsidRPr="005A3CE4">
              <w:t xml:space="preserve">. 1 п. 44 Административного регламента). </w:t>
            </w:r>
            <w:proofErr w:type="gramStart"/>
            <w:r w:rsidRPr="005A3CE4">
              <w:t>Полагаем, что включение данного пункта в основания для отказа в предоставлении муниципальной услуги ухудшает положение заявителей, поскольку затягивает сроки для получения муниципальной услуги: в случае отказа в приеме заявления на стадии принятия документов заявитель в кратчайшие сроки может исправить существующий правовой дефект и обратиться вновь, в то время как об отказе в предоставлении муниципальной услуги ему будет сообщено позднее.</w:t>
            </w:r>
            <w:proofErr w:type="gramEnd"/>
          </w:p>
          <w:p w:rsidR="00C1647A" w:rsidRPr="005A3CE4" w:rsidRDefault="00C1647A" w:rsidP="00C1647A">
            <w:r w:rsidRPr="005A3CE4">
              <w:t>10) Административным регламентом не предусмотрен срок, в течение которого выносится решение об отказе в предоставлении муниципальной услуги.</w:t>
            </w:r>
          </w:p>
          <w:p w:rsidR="00C1647A" w:rsidRPr="005A3CE4" w:rsidRDefault="00C1647A" w:rsidP="00C1647A">
            <w:r w:rsidRPr="005A3CE4">
              <w:t xml:space="preserve">11) В Административном регламенте не регламентирована процедура проведения торгов в случае, если с заявлением о предоставлении одного земельного участка обратилось несколько претендентов. Пункт 117 Административного регламента содержит ссылку на статью 38 Земельного кодекса Российской Федерации, которая </w:t>
            </w:r>
            <w:r w:rsidRPr="005A3CE4">
              <w:lastRenderedPageBreak/>
              <w:t>утратила силу с 01.03.2015 г. Отсутствие указанной процедуры ухудшает положение предпринимателей и может привести к нарушению процедуры предоставления земельного участка.</w:t>
            </w:r>
          </w:p>
          <w:p w:rsidR="00C1647A" w:rsidRPr="005A3CE4" w:rsidRDefault="00C1647A" w:rsidP="00C1647A">
            <w:r w:rsidRPr="005A3CE4">
              <w:t xml:space="preserve">12) Раздел 5 Административного регламента не содержит указание на сроки обжалования решений, действий (бездействия) администрации </w:t>
            </w:r>
            <w:proofErr w:type="spellStart"/>
            <w:r w:rsidRPr="005A3CE4">
              <w:t>Асиновского</w:t>
            </w:r>
            <w:proofErr w:type="spellEnd"/>
            <w:r w:rsidRPr="005A3CE4">
              <w:t xml:space="preserve"> района, должностных лиц в досудебном порядке. </w:t>
            </w:r>
          </w:p>
          <w:p w:rsidR="00C1647A" w:rsidRPr="005A3CE4" w:rsidRDefault="00C1647A" w:rsidP="00C1647A">
            <w:r w:rsidRPr="005A3CE4">
              <w:t>13) Наименование подраздела «Перечень оснований для приостановления рассмотрения жалобы» и его содержание содержат противоречие, поскольку фактически указанный подраздел содержит основания для отказа в удовлетворении жалобы или оставления ее без ответа.</w:t>
            </w:r>
          </w:p>
          <w:p w:rsidR="00C1647A" w:rsidRPr="005A3CE4" w:rsidRDefault="00C1647A" w:rsidP="00C1647A">
            <w:r w:rsidRPr="005A3CE4">
              <w:t>14) Также согласно пункту 159 Административного регламента обжалование осуществляется в соответствии с гражданским процессуальным законодательством, в то время как в настоящее время осуществляется в соответствии с положениями главы 22 Кодекса административного судопроизводства Российской Федерации.</w:t>
            </w:r>
          </w:p>
        </w:tc>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7A" w:rsidRPr="00B53C8D" w:rsidRDefault="005A3CE4" w:rsidP="00B53C8D">
            <w:pPr>
              <w:jc w:val="center"/>
            </w:pPr>
            <w:r w:rsidRPr="00B53C8D">
              <w:lastRenderedPageBreak/>
              <w:t>Учтено</w:t>
            </w: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5A3CE4" w:rsidRPr="00B53C8D" w:rsidRDefault="005A3CE4" w:rsidP="00B53C8D">
            <w:pPr>
              <w:jc w:val="center"/>
            </w:pPr>
            <w:r w:rsidRPr="00B53C8D">
              <w:t>Учтено</w:t>
            </w: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5A3CE4" w:rsidRPr="00B53C8D" w:rsidRDefault="005A3CE4" w:rsidP="00B53C8D">
            <w:pPr>
              <w:jc w:val="center"/>
            </w:pPr>
            <w:r w:rsidRPr="00B53C8D">
              <w:t>Учтено</w:t>
            </w: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5A3CE4" w:rsidRPr="00B53C8D" w:rsidRDefault="005A3CE4" w:rsidP="00B53C8D">
            <w:pPr>
              <w:jc w:val="center"/>
            </w:pPr>
            <w:r w:rsidRPr="00B53C8D">
              <w:t>Учтено</w:t>
            </w: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5A3CE4" w:rsidRPr="00B53C8D" w:rsidRDefault="005A3CE4" w:rsidP="00B53C8D">
            <w:pPr>
              <w:jc w:val="center"/>
            </w:pPr>
            <w:r w:rsidRPr="00B53C8D">
              <w:t>Учтено</w:t>
            </w: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5A3CE4" w:rsidRPr="00B53C8D" w:rsidRDefault="005A3CE4" w:rsidP="00B53C8D">
            <w:pPr>
              <w:jc w:val="center"/>
            </w:pPr>
            <w:r w:rsidRPr="00B53C8D">
              <w:t>Учтено</w:t>
            </w:r>
          </w:p>
          <w:p w:rsidR="00C1647A" w:rsidRPr="00B53C8D" w:rsidRDefault="00C1647A" w:rsidP="00B53C8D">
            <w:pPr>
              <w:jc w:val="center"/>
            </w:pPr>
          </w:p>
          <w:p w:rsidR="00C1647A" w:rsidRPr="00B53C8D" w:rsidRDefault="00C1647A" w:rsidP="00B53C8D">
            <w:pPr>
              <w:jc w:val="center"/>
            </w:pPr>
          </w:p>
          <w:p w:rsidR="005A3CE4" w:rsidRPr="00B53C8D" w:rsidRDefault="005A3CE4" w:rsidP="00B53C8D">
            <w:pPr>
              <w:jc w:val="center"/>
            </w:pPr>
            <w:r w:rsidRPr="00B53C8D">
              <w:t>Учтено</w:t>
            </w: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5A3CE4" w:rsidRPr="00B53C8D" w:rsidRDefault="005A3CE4" w:rsidP="00B53C8D">
            <w:pPr>
              <w:jc w:val="center"/>
            </w:pPr>
            <w:r w:rsidRPr="00B53C8D">
              <w:lastRenderedPageBreak/>
              <w:t>Учтено</w:t>
            </w: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5A3CE4" w:rsidRPr="00B53C8D" w:rsidRDefault="005A3CE4" w:rsidP="00B53C8D">
            <w:pPr>
              <w:jc w:val="center"/>
            </w:pPr>
            <w:r w:rsidRPr="00B53C8D">
              <w:t>Учтено</w:t>
            </w: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C1647A" w:rsidRPr="00B53C8D" w:rsidRDefault="00C1647A" w:rsidP="00B53C8D">
            <w:pPr>
              <w:jc w:val="center"/>
            </w:pPr>
          </w:p>
          <w:p w:rsidR="005A3CE4" w:rsidRPr="00B53C8D" w:rsidRDefault="005A3CE4" w:rsidP="00B53C8D">
            <w:pPr>
              <w:jc w:val="center"/>
            </w:pPr>
            <w:r w:rsidRPr="00B53C8D">
              <w:t>Учтено</w:t>
            </w:r>
          </w:p>
          <w:p w:rsidR="005A3CE4" w:rsidRPr="00B53C8D" w:rsidRDefault="005A3CE4" w:rsidP="00B53C8D">
            <w:pPr>
              <w:jc w:val="center"/>
            </w:pPr>
          </w:p>
          <w:p w:rsidR="005A3CE4" w:rsidRPr="00B53C8D" w:rsidRDefault="005A3CE4" w:rsidP="00B53C8D">
            <w:pPr>
              <w:jc w:val="both"/>
            </w:pPr>
            <w:r w:rsidRPr="00B53C8D">
              <w:t>Не учтено</w:t>
            </w:r>
            <w:r w:rsidR="00B53C8D" w:rsidRPr="00B53C8D">
              <w:t>, т.к. пункт</w:t>
            </w:r>
            <w:r w:rsidRPr="00B53C8D">
              <w:t xml:space="preserve"> 117 Административного регламента</w:t>
            </w:r>
            <w:r w:rsidR="00B53C8D" w:rsidRPr="00B53C8D">
              <w:t xml:space="preserve"> не содержит ссылку на статью 38 </w:t>
            </w:r>
            <w:r w:rsidR="00B53C8D" w:rsidRPr="00B53C8D">
              <w:lastRenderedPageBreak/>
              <w:t>Земельного кодекса Российской Федерации</w:t>
            </w:r>
          </w:p>
          <w:p w:rsidR="005A3CE4" w:rsidRPr="00B53C8D" w:rsidRDefault="005A3CE4" w:rsidP="00B53C8D">
            <w:pPr>
              <w:jc w:val="center"/>
            </w:pPr>
          </w:p>
          <w:p w:rsidR="005A3CE4" w:rsidRPr="00B53C8D" w:rsidRDefault="005A3CE4" w:rsidP="00B53C8D">
            <w:pPr>
              <w:jc w:val="center"/>
            </w:pPr>
            <w:r w:rsidRPr="00B53C8D">
              <w:t>Учтено</w:t>
            </w:r>
          </w:p>
          <w:p w:rsidR="005A3CE4" w:rsidRPr="00B53C8D" w:rsidRDefault="005A3CE4" w:rsidP="00B53C8D">
            <w:pPr>
              <w:jc w:val="center"/>
            </w:pPr>
          </w:p>
          <w:p w:rsidR="005A3CE4" w:rsidRPr="00B53C8D" w:rsidRDefault="005A3CE4" w:rsidP="00B53C8D">
            <w:pPr>
              <w:jc w:val="center"/>
            </w:pPr>
          </w:p>
          <w:p w:rsidR="005A3CE4" w:rsidRPr="00B53C8D" w:rsidRDefault="005A3CE4" w:rsidP="00B53C8D">
            <w:pPr>
              <w:jc w:val="center"/>
            </w:pPr>
            <w:r w:rsidRPr="00B53C8D">
              <w:t>Учтено</w:t>
            </w:r>
          </w:p>
          <w:p w:rsidR="005A3CE4" w:rsidRPr="00B53C8D" w:rsidRDefault="005A3CE4" w:rsidP="00B53C8D">
            <w:pPr>
              <w:jc w:val="center"/>
            </w:pPr>
          </w:p>
          <w:p w:rsidR="005A3CE4" w:rsidRPr="00B53C8D" w:rsidRDefault="005A3CE4" w:rsidP="00B53C8D">
            <w:pPr>
              <w:jc w:val="center"/>
            </w:pPr>
          </w:p>
          <w:p w:rsidR="005A3CE4" w:rsidRPr="00B53C8D" w:rsidRDefault="005A3CE4" w:rsidP="00B53C8D">
            <w:pPr>
              <w:jc w:val="center"/>
            </w:pPr>
          </w:p>
          <w:p w:rsidR="005A3CE4" w:rsidRPr="00B53C8D" w:rsidRDefault="00B53C8D" w:rsidP="00B53C8D">
            <w:pPr>
              <w:jc w:val="center"/>
            </w:pPr>
            <w:r>
              <w:t>Учтено</w:t>
            </w:r>
          </w:p>
        </w:tc>
      </w:tr>
    </w:tbl>
    <w:p w:rsidR="00C1647A" w:rsidRPr="00C1647A" w:rsidRDefault="00C1647A" w:rsidP="00C1647A">
      <w:pPr>
        <w:rPr>
          <w:sz w:val="18"/>
          <w:szCs w:val="18"/>
        </w:rPr>
        <w:sectPr w:rsidR="00C1647A" w:rsidRPr="00C1647A" w:rsidSect="00675FD4">
          <w:pgSz w:w="16838" w:h="11906" w:orient="landscape"/>
          <w:pgMar w:top="851" w:right="1134" w:bottom="2269" w:left="1134" w:header="708" w:footer="708" w:gutter="0"/>
          <w:cols w:space="708"/>
          <w:docGrid w:linePitch="360"/>
        </w:sectPr>
      </w:pPr>
    </w:p>
    <w:p w:rsidR="00C1647A" w:rsidRPr="00112596" w:rsidRDefault="00C1647A" w:rsidP="00972C52">
      <w:pPr>
        <w:rPr>
          <w:sz w:val="18"/>
          <w:szCs w:val="18"/>
        </w:rPr>
      </w:pPr>
    </w:p>
    <w:sectPr w:rsidR="00C1647A" w:rsidRPr="00112596" w:rsidSect="00C1647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70"/>
    <w:rsid w:val="00053822"/>
    <w:rsid w:val="00056506"/>
    <w:rsid w:val="00112596"/>
    <w:rsid w:val="0012409B"/>
    <w:rsid w:val="0015136B"/>
    <w:rsid w:val="001C040A"/>
    <w:rsid w:val="002D54C4"/>
    <w:rsid w:val="003663D5"/>
    <w:rsid w:val="00420442"/>
    <w:rsid w:val="00492F99"/>
    <w:rsid w:val="0055522A"/>
    <w:rsid w:val="005833DB"/>
    <w:rsid w:val="005A3CE4"/>
    <w:rsid w:val="007977B8"/>
    <w:rsid w:val="007D59FD"/>
    <w:rsid w:val="00865EA9"/>
    <w:rsid w:val="00897802"/>
    <w:rsid w:val="00972C52"/>
    <w:rsid w:val="009C0F72"/>
    <w:rsid w:val="00A24ACE"/>
    <w:rsid w:val="00A86EBF"/>
    <w:rsid w:val="00AC19C7"/>
    <w:rsid w:val="00B04476"/>
    <w:rsid w:val="00B53C8D"/>
    <w:rsid w:val="00B746D0"/>
    <w:rsid w:val="00C1647A"/>
    <w:rsid w:val="00C52E4F"/>
    <w:rsid w:val="00C81826"/>
    <w:rsid w:val="00CD0A59"/>
    <w:rsid w:val="00D17EC7"/>
    <w:rsid w:val="00E3350C"/>
    <w:rsid w:val="00F0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9FD"/>
    <w:rPr>
      <w:rFonts w:ascii="Tahoma" w:hAnsi="Tahoma" w:cs="Tahoma"/>
      <w:sz w:val="16"/>
      <w:szCs w:val="16"/>
    </w:rPr>
  </w:style>
  <w:style w:type="character" w:customStyle="1" w:styleId="a4">
    <w:name w:val="Текст выноски Знак"/>
    <w:basedOn w:val="a0"/>
    <w:link w:val="a3"/>
    <w:uiPriority w:val="99"/>
    <w:semiHidden/>
    <w:rsid w:val="007D59FD"/>
    <w:rPr>
      <w:rFonts w:ascii="Tahoma" w:eastAsia="Times New Roman" w:hAnsi="Tahoma" w:cs="Tahoma"/>
      <w:sz w:val="16"/>
      <w:szCs w:val="16"/>
      <w:lang w:eastAsia="ru-RU"/>
    </w:rPr>
  </w:style>
  <w:style w:type="character" w:styleId="a5">
    <w:name w:val="Hyperlink"/>
    <w:basedOn w:val="a0"/>
    <w:uiPriority w:val="99"/>
    <w:unhideWhenUsed/>
    <w:rsid w:val="005833DB"/>
    <w:rPr>
      <w:color w:val="0000FF" w:themeColor="hyperlink"/>
      <w:u w:val="single"/>
    </w:rPr>
  </w:style>
  <w:style w:type="table" w:styleId="a6">
    <w:name w:val="Table Grid"/>
    <w:basedOn w:val="a1"/>
    <w:uiPriority w:val="59"/>
    <w:rsid w:val="00366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66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9FD"/>
    <w:rPr>
      <w:rFonts w:ascii="Tahoma" w:hAnsi="Tahoma" w:cs="Tahoma"/>
      <w:sz w:val="16"/>
      <w:szCs w:val="16"/>
    </w:rPr>
  </w:style>
  <w:style w:type="character" w:customStyle="1" w:styleId="a4">
    <w:name w:val="Текст выноски Знак"/>
    <w:basedOn w:val="a0"/>
    <w:link w:val="a3"/>
    <w:uiPriority w:val="99"/>
    <w:semiHidden/>
    <w:rsid w:val="007D59FD"/>
    <w:rPr>
      <w:rFonts w:ascii="Tahoma" w:eastAsia="Times New Roman" w:hAnsi="Tahoma" w:cs="Tahoma"/>
      <w:sz w:val="16"/>
      <w:szCs w:val="16"/>
      <w:lang w:eastAsia="ru-RU"/>
    </w:rPr>
  </w:style>
  <w:style w:type="character" w:styleId="a5">
    <w:name w:val="Hyperlink"/>
    <w:basedOn w:val="a0"/>
    <w:uiPriority w:val="99"/>
    <w:unhideWhenUsed/>
    <w:rsid w:val="005833DB"/>
    <w:rPr>
      <w:color w:val="0000FF" w:themeColor="hyperlink"/>
      <w:u w:val="single"/>
    </w:rPr>
  </w:style>
  <w:style w:type="table" w:styleId="a6">
    <w:name w:val="Table Grid"/>
    <w:basedOn w:val="a1"/>
    <w:uiPriority w:val="59"/>
    <w:rsid w:val="00366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66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 Ольга Петровна</dc:creator>
  <cp:lastModifiedBy>Кодочигова Анастасия Андреев</cp:lastModifiedBy>
  <cp:revision>2</cp:revision>
  <cp:lastPrinted>2017-04-12T02:31:00Z</cp:lastPrinted>
  <dcterms:created xsi:type="dcterms:W3CDTF">2019-01-11T02:27:00Z</dcterms:created>
  <dcterms:modified xsi:type="dcterms:W3CDTF">2019-01-11T02:27:00Z</dcterms:modified>
</cp:coreProperties>
</file>