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124" w:tblpY="-640"/>
        <w:tblW w:w="0" w:type="auto"/>
        <w:tblLayout w:type="fixed"/>
        <w:tblLook w:val="04A0"/>
      </w:tblPr>
      <w:tblGrid>
        <w:gridCol w:w="3794"/>
        <w:gridCol w:w="4536"/>
      </w:tblGrid>
      <w:tr w:rsidR="003311F0" w:rsidRPr="0027688E" w:rsidTr="00E23C88">
        <w:trPr>
          <w:trHeight w:val="2258"/>
        </w:trPr>
        <w:tc>
          <w:tcPr>
            <w:tcW w:w="3794" w:type="dxa"/>
            <w:shd w:val="clear" w:color="auto" w:fill="auto"/>
          </w:tcPr>
          <w:p w:rsidR="003311F0" w:rsidRDefault="003311F0" w:rsidP="00E23C8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</w:p>
          <w:p w:rsidR="003311F0" w:rsidRPr="0027688E" w:rsidRDefault="003311F0" w:rsidP="00E23C88">
            <w:pPr>
              <w:suppressAutoHyphens w:val="0"/>
              <w:jc w:val="right"/>
              <w:rPr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3311F0" w:rsidRDefault="003311F0" w:rsidP="00E23C88">
            <w:pPr>
              <w:suppressAutoHyphens w:val="0"/>
              <w:rPr>
                <w:sz w:val="26"/>
                <w:szCs w:val="26"/>
                <w:lang w:eastAsia="ru-RU"/>
              </w:rPr>
            </w:pPr>
          </w:p>
          <w:p w:rsidR="003311F0" w:rsidRPr="00444BD1" w:rsidRDefault="003311F0" w:rsidP="00E23C88">
            <w:pPr>
              <w:suppressAutoHyphens w:val="0"/>
              <w:rPr>
                <w:sz w:val="26"/>
                <w:szCs w:val="26"/>
                <w:u w:val="single"/>
                <w:lang w:eastAsia="ru-RU"/>
              </w:rPr>
            </w:pPr>
            <w:r w:rsidRPr="0027688E">
              <w:rPr>
                <w:sz w:val="26"/>
                <w:szCs w:val="26"/>
                <w:lang w:eastAsia="ru-RU"/>
              </w:rPr>
              <w:t xml:space="preserve">Приложение № </w:t>
            </w:r>
            <w:r>
              <w:rPr>
                <w:sz w:val="26"/>
                <w:szCs w:val="26"/>
                <w:lang w:eastAsia="ru-RU"/>
              </w:rPr>
              <w:t>4</w:t>
            </w:r>
            <w:r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br/>
              <w:t>УТВЕРЖДЕНО</w:t>
            </w:r>
            <w:r w:rsidRPr="0027688E">
              <w:rPr>
                <w:sz w:val="26"/>
                <w:szCs w:val="26"/>
                <w:lang w:eastAsia="ru-RU"/>
              </w:rPr>
              <w:br/>
            </w:r>
            <w:r>
              <w:rPr>
                <w:sz w:val="26"/>
                <w:szCs w:val="26"/>
                <w:lang w:eastAsia="ru-RU"/>
              </w:rPr>
              <w:t>приказом ОГКУ ЦЗН города Асино</w:t>
            </w:r>
            <w:r w:rsidRPr="0027688E">
              <w:rPr>
                <w:sz w:val="26"/>
                <w:szCs w:val="26"/>
                <w:lang w:eastAsia="ru-RU"/>
              </w:rPr>
              <w:br/>
              <w:t>от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 xml:space="preserve">24.10.2018 </w:t>
            </w:r>
            <w:r w:rsidRPr="0027688E">
              <w:rPr>
                <w:sz w:val="26"/>
                <w:szCs w:val="26"/>
                <w:lang w:eastAsia="ru-RU"/>
              </w:rPr>
              <w:t xml:space="preserve"> г. №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>
              <w:rPr>
                <w:sz w:val="26"/>
                <w:szCs w:val="26"/>
                <w:u w:val="single"/>
                <w:lang w:eastAsia="ru-RU"/>
              </w:rPr>
              <w:t>50</w:t>
            </w:r>
          </w:p>
        </w:tc>
      </w:tr>
    </w:tbl>
    <w:p w:rsidR="003311F0" w:rsidRDefault="003311F0" w:rsidP="003311F0">
      <w:pPr>
        <w:suppressAutoHyphens w:val="0"/>
        <w:ind w:left="6663" w:right="-143"/>
        <w:jc w:val="center"/>
        <w:rPr>
          <w:sz w:val="26"/>
          <w:szCs w:val="26"/>
        </w:rPr>
      </w:pP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</w:p>
    <w:p w:rsidR="003311F0" w:rsidRDefault="003311F0" w:rsidP="003311F0">
      <w:pPr>
        <w:jc w:val="center"/>
        <w:rPr>
          <w:sz w:val="26"/>
          <w:szCs w:val="26"/>
        </w:rPr>
      </w:pPr>
    </w:p>
    <w:p w:rsidR="003311F0" w:rsidRDefault="003311F0" w:rsidP="003311F0">
      <w:pPr>
        <w:jc w:val="center"/>
        <w:rPr>
          <w:sz w:val="26"/>
          <w:szCs w:val="26"/>
        </w:rPr>
      </w:pPr>
      <w:r>
        <w:rPr>
          <w:sz w:val="26"/>
          <w:szCs w:val="26"/>
        </w:rPr>
        <w:t>Типовое п</w:t>
      </w:r>
      <w:r w:rsidRPr="00415B55">
        <w:rPr>
          <w:sz w:val="26"/>
          <w:szCs w:val="26"/>
        </w:rPr>
        <w:t xml:space="preserve">оложение </w:t>
      </w:r>
    </w:p>
    <w:p w:rsidR="003311F0" w:rsidRDefault="003311F0" w:rsidP="003311F0">
      <w:pPr>
        <w:tabs>
          <w:tab w:val="left" w:pos="3118"/>
          <w:tab w:val="center" w:pos="5102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о предотвращении и урегулировании конфликта интересов в ОГКУ ЦЗН города Асино</w:t>
      </w:r>
    </w:p>
    <w:p w:rsidR="003311F0" w:rsidRDefault="003311F0" w:rsidP="003311F0">
      <w:pPr>
        <w:tabs>
          <w:tab w:val="left" w:pos="3118"/>
          <w:tab w:val="center" w:pos="5102"/>
        </w:tabs>
        <w:jc w:val="center"/>
        <w:rPr>
          <w:sz w:val="26"/>
          <w:szCs w:val="26"/>
        </w:rPr>
      </w:pPr>
    </w:p>
    <w:p w:rsidR="003311F0" w:rsidRPr="00375052" w:rsidRDefault="003311F0" w:rsidP="003311F0">
      <w:pPr>
        <w:tabs>
          <w:tab w:val="left" w:pos="3118"/>
          <w:tab w:val="center" w:pos="5102"/>
        </w:tabs>
        <w:jc w:val="center"/>
        <w:rPr>
          <w:sz w:val="26"/>
          <w:szCs w:val="26"/>
        </w:rPr>
      </w:pPr>
      <w:r w:rsidRPr="00375052">
        <w:rPr>
          <w:sz w:val="26"/>
          <w:szCs w:val="26"/>
        </w:rPr>
        <w:t>Общее положение</w:t>
      </w:r>
    </w:p>
    <w:p w:rsidR="003311F0" w:rsidRDefault="003311F0" w:rsidP="003311F0">
      <w:pPr>
        <w:ind w:left="390"/>
        <w:rPr>
          <w:sz w:val="26"/>
          <w:szCs w:val="26"/>
        </w:rPr>
      </w:pPr>
    </w:p>
    <w:p w:rsidR="003311F0" w:rsidRDefault="003311F0" w:rsidP="003311F0">
      <w:pPr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Настоящее Типовое положение о предотвращении и урегулировании конфликта интересов в ОГКУ ЦЗН города Асино (далее – Положение) разработано в соответствии с Федеральным законом от 25 декабря 2008 № 273-ФЗ «О противодействии коррупции» в целях определения системы мер по предотвращению и урегулированию конфликта интересов в рамках реализации целей и задач ОГКУ ЦЗН города Асино (далее – Учреждение).</w:t>
      </w:r>
      <w:proofErr w:type="gramEnd"/>
    </w:p>
    <w:p w:rsidR="003311F0" w:rsidRDefault="003311F0" w:rsidP="003311F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Основной задачей деятельности Учреждения по предотвращению и урегулированию конфликта интересов является ограничения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3311F0" w:rsidRPr="000228B7" w:rsidRDefault="003311F0" w:rsidP="003311F0">
      <w:pPr>
        <w:numPr>
          <w:ilvl w:val="1"/>
          <w:numId w:val="5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Конфликт интересов –</w:t>
      </w:r>
      <w:r w:rsidRPr="000228B7">
        <w:rPr>
          <w:sz w:val="26"/>
          <w:szCs w:val="26"/>
        </w:rPr>
        <w:t xml:space="preserve"> ситуация, при которой личная заинтересованность (прямая или косвенная) </w:t>
      </w:r>
      <w:r>
        <w:rPr>
          <w:sz w:val="26"/>
          <w:szCs w:val="26"/>
        </w:rPr>
        <w:t>работника Учреждения влияет или может повлиять на надлежащее исполнение им должностных (трудовых) обязанностей или при которой возникает или может возникать противоречие между личной заинтересованностью работника и законными интересами Учреждения, способное привести к причинению вреда правам и законным интересам, имуществу и (или) деловой репутации Учреждения.</w:t>
      </w:r>
      <w:proofErr w:type="gramEnd"/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 </w:t>
      </w:r>
      <w:proofErr w:type="gramStart"/>
      <w:r>
        <w:rPr>
          <w:sz w:val="26"/>
          <w:szCs w:val="26"/>
        </w:rPr>
        <w:t>личной</w:t>
      </w:r>
      <w:proofErr w:type="gramEnd"/>
      <w:r>
        <w:rPr>
          <w:sz w:val="26"/>
          <w:szCs w:val="26"/>
        </w:rPr>
        <w:t xml:space="preserve"> заинтересованность работника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3311F0" w:rsidRDefault="003311F0" w:rsidP="003311F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Действие настоящего Положения распространяется на всех работников Учреждения.</w:t>
      </w:r>
    </w:p>
    <w:p w:rsidR="003311F0" w:rsidRDefault="003311F0" w:rsidP="003311F0">
      <w:pPr>
        <w:numPr>
          <w:ilvl w:val="1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Содержание настоящего Положения доводится до сведений всех работников Учреждения под роспись, в том числе при приеме на работу. </w:t>
      </w:r>
    </w:p>
    <w:p w:rsidR="003311F0" w:rsidRDefault="003311F0" w:rsidP="003311F0">
      <w:pPr>
        <w:tabs>
          <w:tab w:val="left" w:pos="6223"/>
        </w:tabs>
        <w:ind w:left="85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3311F0" w:rsidRPr="00671515" w:rsidRDefault="003311F0" w:rsidP="003311F0">
      <w:pPr>
        <w:numPr>
          <w:ilvl w:val="0"/>
          <w:numId w:val="5"/>
        </w:numPr>
        <w:ind w:left="0" w:firstLine="709"/>
        <w:jc w:val="center"/>
        <w:rPr>
          <w:sz w:val="26"/>
          <w:szCs w:val="26"/>
        </w:rPr>
      </w:pPr>
      <w:r w:rsidRPr="00671515">
        <w:rPr>
          <w:sz w:val="26"/>
          <w:szCs w:val="26"/>
        </w:rPr>
        <w:t>Основные принципы управления предотвращением и урегулированием конфликта интересов</w:t>
      </w:r>
    </w:p>
    <w:p w:rsidR="003311F0" w:rsidRDefault="003311F0" w:rsidP="003311F0">
      <w:pPr>
        <w:ind w:left="390" w:firstLine="709"/>
        <w:rPr>
          <w:sz w:val="26"/>
          <w:szCs w:val="26"/>
        </w:rPr>
      </w:pPr>
    </w:p>
    <w:p w:rsidR="003311F0" w:rsidRDefault="003311F0" w:rsidP="00331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Деятельность по предотвращению и урегулированию конфликта интересов в Учреждении осуществляется на основании следующих основных принципов:</w:t>
      </w:r>
    </w:p>
    <w:p w:rsidR="003311F0" w:rsidRDefault="003311F0" w:rsidP="00331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раскрытие сведений о реальном или потенциальном конфликте интересов;</w:t>
      </w:r>
    </w:p>
    <w:p w:rsidR="003311F0" w:rsidRDefault="003311F0" w:rsidP="00331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конфиденциальность процесса раскрытия сведений о конфликте интересов и процесса его урегулирования;</w:t>
      </w:r>
    </w:p>
    <w:p w:rsidR="003311F0" w:rsidRDefault="003311F0" w:rsidP="00331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соблюдение баланса интересов Учреждения и работника при урегулировании конфликта интересов;</w:t>
      </w:r>
    </w:p>
    <w:p w:rsidR="003311F0" w:rsidRDefault="003311F0" w:rsidP="003311F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3311F0" w:rsidRDefault="003311F0" w:rsidP="003311F0">
      <w:pPr>
        <w:ind w:firstLine="709"/>
        <w:jc w:val="both"/>
        <w:rPr>
          <w:sz w:val="26"/>
          <w:szCs w:val="26"/>
        </w:rPr>
      </w:pPr>
    </w:p>
    <w:p w:rsidR="003311F0" w:rsidRPr="00671515" w:rsidRDefault="003311F0" w:rsidP="003311F0">
      <w:pPr>
        <w:numPr>
          <w:ilvl w:val="0"/>
          <w:numId w:val="5"/>
        </w:numPr>
        <w:ind w:left="0" w:firstLine="709"/>
        <w:jc w:val="center"/>
        <w:rPr>
          <w:sz w:val="26"/>
          <w:szCs w:val="26"/>
        </w:rPr>
      </w:pPr>
      <w:r w:rsidRPr="00671515">
        <w:rPr>
          <w:sz w:val="26"/>
          <w:szCs w:val="26"/>
        </w:rPr>
        <w:t>Обязанности работника Учреждения в связи с раскрытием</w:t>
      </w:r>
    </w:p>
    <w:p w:rsidR="003311F0" w:rsidRPr="00671515" w:rsidRDefault="003311F0" w:rsidP="003311F0">
      <w:pPr>
        <w:ind w:firstLine="709"/>
        <w:jc w:val="center"/>
        <w:rPr>
          <w:sz w:val="26"/>
          <w:szCs w:val="26"/>
        </w:rPr>
      </w:pPr>
      <w:r w:rsidRPr="00671515">
        <w:rPr>
          <w:sz w:val="26"/>
          <w:szCs w:val="26"/>
        </w:rPr>
        <w:t>и урегулированием конфликта интересов</w:t>
      </w:r>
    </w:p>
    <w:p w:rsidR="003311F0" w:rsidRPr="00671515" w:rsidRDefault="003311F0" w:rsidP="003311F0">
      <w:pPr>
        <w:ind w:left="390" w:firstLine="709"/>
        <w:jc w:val="center"/>
        <w:rPr>
          <w:sz w:val="26"/>
          <w:szCs w:val="26"/>
        </w:rPr>
      </w:pPr>
    </w:p>
    <w:p w:rsidR="003311F0" w:rsidRDefault="003311F0" w:rsidP="003311F0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Работник при выполнении своих должностных обязанностей обязан: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соблюдать интересы Учреждения, прежде всего в отношении целей его деятельности;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руководствоваться интересами Учреждения без учета своих личных интересов, интересов третьих лиц;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избегать ситуации и обстоятельств, которые могут привести к конфликту интересов;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раскрывать возникши</w:t>
      </w:r>
      <w:proofErr w:type="gramStart"/>
      <w:r>
        <w:rPr>
          <w:sz w:val="26"/>
          <w:szCs w:val="26"/>
        </w:rPr>
        <w:t>й(</w:t>
      </w:r>
      <w:proofErr w:type="gramEnd"/>
      <w:r>
        <w:rPr>
          <w:sz w:val="26"/>
          <w:szCs w:val="26"/>
        </w:rPr>
        <w:t>реальный) или потенциальный конфликт интересов: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содействовать урегулированию возникшего конфликта интересов.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proofErr w:type="gramStart"/>
      <w:r>
        <w:rPr>
          <w:sz w:val="26"/>
          <w:szCs w:val="26"/>
        </w:rPr>
        <w:t>Работник при выполнении своих должностных обязанностей не должен использовать возможности Учреждения или допустить их использование в иных целях, помимо предусмотренных учредительными документами Учреждения.</w:t>
      </w:r>
      <w:proofErr w:type="gramEnd"/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311F0" w:rsidRPr="00671515" w:rsidRDefault="003311F0" w:rsidP="003311F0">
      <w:pPr>
        <w:numPr>
          <w:ilvl w:val="0"/>
          <w:numId w:val="5"/>
        </w:numPr>
        <w:tabs>
          <w:tab w:val="left" w:pos="1134"/>
        </w:tabs>
        <w:ind w:left="0" w:firstLine="709"/>
        <w:jc w:val="center"/>
        <w:rPr>
          <w:sz w:val="26"/>
          <w:szCs w:val="26"/>
        </w:rPr>
      </w:pPr>
      <w:r w:rsidRPr="00671515">
        <w:rPr>
          <w:sz w:val="26"/>
          <w:szCs w:val="26"/>
        </w:rPr>
        <w:t>Порядок раскрытия конфликта интересов</w:t>
      </w:r>
    </w:p>
    <w:p w:rsidR="003311F0" w:rsidRPr="00671515" w:rsidRDefault="003311F0" w:rsidP="003311F0">
      <w:pPr>
        <w:tabs>
          <w:tab w:val="left" w:pos="1134"/>
        </w:tabs>
        <w:ind w:firstLine="709"/>
        <w:jc w:val="center"/>
        <w:rPr>
          <w:sz w:val="26"/>
          <w:szCs w:val="26"/>
        </w:rPr>
      </w:pPr>
      <w:r w:rsidRPr="00671515">
        <w:rPr>
          <w:sz w:val="26"/>
          <w:szCs w:val="26"/>
        </w:rPr>
        <w:t>работником Учреждения</w:t>
      </w:r>
    </w:p>
    <w:p w:rsidR="003311F0" w:rsidRPr="00671515" w:rsidRDefault="003311F0" w:rsidP="003311F0">
      <w:pPr>
        <w:tabs>
          <w:tab w:val="left" w:pos="1134"/>
        </w:tabs>
        <w:ind w:left="390" w:firstLine="709"/>
        <w:jc w:val="center"/>
        <w:rPr>
          <w:sz w:val="26"/>
          <w:szCs w:val="26"/>
        </w:rPr>
      </w:pPr>
    </w:p>
    <w:p w:rsidR="003311F0" w:rsidRPr="007A1BC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Работник Учреждения направляет директору Учреждения сообщение о возникшем конфликте интересов или возможности его возникновения (далее – Сообщение), составленное по форме согласно приложению № 1 к настоящему Положению, не позднее рабочего дня, следующего за днем, когда им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proofErr w:type="gramEnd"/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Указанное в пункте 9 настоящего Положения Сообщение предается должностному лицу, ответственному за работу по профилактике коррупционных и иных правонарушений в Учреждении, и подлежит регистрации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двух рабочих дней со дня его поступления.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Сообщение регистрируется в журнале регистрации сообщений о возникшем конфликте интересов или возможности его возникновения (приложение № 2 к настоящему Положению).</w:t>
      </w:r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Допустимо первоначальное раскрытие информации о конфликте интересов в устной форме с последующей фиксацией в </w:t>
      </w:r>
      <w:r w:rsidRPr="00590FD5">
        <w:rPr>
          <w:color w:val="000000"/>
          <w:sz w:val="26"/>
          <w:szCs w:val="26"/>
        </w:rPr>
        <w:t>письменном виде.</w:t>
      </w:r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Сообщение работника Учреждения рассматривается Комиссией по соблюдению требований к служебному поведению </w:t>
      </w:r>
      <w:proofErr w:type="gramStart"/>
      <w:r>
        <w:rPr>
          <w:sz w:val="26"/>
          <w:szCs w:val="26"/>
          <w:lang w:eastAsia="ru-RU"/>
        </w:rPr>
        <w:t>работников областных государственных казенных учреждений центров занятости населения Томской области</w:t>
      </w:r>
      <w:proofErr w:type="gramEnd"/>
      <w:r>
        <w:rPr>
          <w:sz w:val="26"/>
          <w:szCs w:val="26"/>
          <w:lang w:eastAsia="ru-RU"/>
        </w:rPr>
        <w:t xml:space="preserve"> и урегулированию конфликта интересов.</w:t>
      </w:r>
    </w:p>
    <w:p w:rsidR="003311F0" w:rsidRDefault="003311F0" w:rsidP="003311F0">
      <w:pPr>
        <w:ind w:firstLine="709"/>
        <w:jc w:val="center"/>
        <w:rPr>
          <w:sz w:val="26"/>
          <w:szCs w:val="26"/>
        </w:rPr>
      </w:pPr>
    </w:p>
    <w:p w:rsidR="003311F0" w:rsidRPr="005967D7" w:rsidRDefault="003311F0" w:rsidP="003311F0">
      <w:pPr>
        <w:numPr>
          <w:ilvl w:val="0"/>
          <w:numId w:val="5"/>
        </w:numPr>
        <w:ind w:left="0" w:firstLine="709"/>
        <w:jc w:val="center"/>
        <w:rPr>
          <w:sz w:val="26"/>
          <w:szCs w:val="26"/>
        </w:rPr>
      </w:pPr>
      <w:r w:rsidRPr="005967D7">
        <w:rPr>
          <w:sz w:val="26"/>
          <w:szCs w:val="26"/>
        </w:rPr>
        <w:t>Механизм предотвращения и урегулирования</w:t>
      </w:r>
    </w:p>
    <w:p w:rsidR="003311F0" w:rsidRPr="005967D7" w:rsidRDefault="003311F0" w:rsidP="003311F0">
      <w:pPr>
        <w:ind w:firstLine="709"/>
        <w:jc w:val="center"/>
        <w:rPr>
          <w:sz w:val="26"/>
          <w:szCs w:val="26"/>
        </w:rPr>
      </w:pPr>
      <w:r w:rsidRPr="005967D7">
        <w:rPr>
          <w:sz w:val="26"/>
          <w:szCs w:val="26"/>
        </w:rPr>
        <w:t>конфликта интересов в Учреждении</w:t>
      </w:r>
    </w:p>
    <w:p w:rsidR="003311F0" w:rsidRDefault="003311F0" w:rsidP="003311F0">
      <w:pPr>
        <w:ind w:left="390" w:firstLine="709"/>
        <w:jc w:val="center"/>
        <w:rPr>
          <w:b/>
          <w:sz w:val="26"/>
          <w:szCs w:val="26"/>
        </w:rPr>
      </w:pPr>
    </w:p>
    <w:p w:rsidR="003311F0" w:rsidRPr="0079338C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Работники обязаны принимать меры по предотвращению ситуации конфликта интересов, руководствуясь требованиями законодательства Российской Федерации.</w:t>
      </w:r>
    </w:p>
    <w:p w:rsidR="003311F0" w:rsidRPr="0079338C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Способами урегулирования конфликта интересов в Учреждении могут быть: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ограничение доступа работника к конкретной информации, которая может затрагивать его личные интересы;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пересмотр и изменение функциональных обязанностей работника Учреждения;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перевод работника на должность, предусматривающую выполнение функциональных обязанностей, исключающих конфликт интересов, в соответствии с Трудовым кодексом Российской Федерации;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отказ работника от своего личного интереса, порождающего конфликт с  интересами Учреждения;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увольнение работника по основаниям, установленным Трудовым кодексом Российской Федерации.</w:t>
      </w:r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 принятии решения о выборе конкретного способа урегулирования конфликта интересов учитывается степень личного интереса работника, вероятность того, что его личный интерес будет реализован в ущерб Учреждению.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311F0" w:rsidRDefault="003311F0" w:rsidP="003311F0">
      <w:pPr>
        <w:numPr>
          <w:ilvl w:val="0"/>
          <w:numId w:val="5"/>
        </w:numPr>
        <w:tabs>
          <w:tab w:val="left" w:pos="1134"/>
        </w:tabs>
        <w:ind w:left="0" w:firstLine="709"/>
        <w:jc w:val="center"/>
        <w:rPr>
          <w:sz w:val="26"/>
          <w:szCs w:val="26"/>
        </w:rPr>
      </w:pPr>
      <w:r w:rsidRPr="008029C3">
        <w:rPr>
          <w:sz w:val="26"/>
          <w:szCs w:val="26"/>
        </w:rPr>
        <w:t>Ответственность работника Учреждения</w:t>
      </w:r>
      <w:r>
        <w:rPr>
          <w:sz w:val="26"/>
          <w:szCs w:val="26"/>
        </w:rPr>
        <w:t xml:space="preserve"> </w:t>
      </w:r>
      <w:proofErr w:type="gramStart"/>
      <w:r w:rsidRPr="008029C3">
        <w:rPr>
          <w:sz w:val="26"/>
          <w:szCs w:val="26"/>
        </w:rPr>
        <w:t>за</w:t>
      </w:r>
      <w:proofErr w:type="gramEnd"/>
      <w:r w:rsidRPr="008029C3">
        <w:rPr>
          <w:sz w:val="26"/>
          <w:szCs w:val="26"/>
        </w:rPr>
        <w:t xml:space="preserve"> </w:t>
      </w:r>
    </w:p>
    <w:p w:rsidR="003311F0" w:rsidRPr="008029C3" w:rsidRDefault="003311F0" w:rsidP="003311F0">
      <w:pPr>
        <w:tabs>
          <w:tab w:val="left" w:pos="1134"/>
        </w:tabs>
        <w:ind w:firstLine="709"/>
        <w:jc w:val="center"/>
        <w:rPr>
          <w:sz w:val="26"/>
          <w:szCs w:val="26"/>
        </w:rPr>
      </w:pPr>
      <w:r w:rsidRPr="008029C3">
        <w:rPr>
          <w:sz w:val="26"/>
          <w:szCs w:val="26"/>
        </w:rPr>
        <w:t>несоблюдение настоящего Положения</w:t>
      </w:r>
    </w:p>
    <w:p w:rsidR="003311F0" w:rsidRDefault="003311F0" w:rsidP="003311F0">
      <w:pPr>
        <w:tabs>
          <w:tab w:val="left" w:pos="1134"/>
        </w:tabs>
        <w:ind w:left="390" w:firstLine="709"/>
        <w:jc w:val="center"/>
        <w:rPr>
          <w:sz w:val="26"/>
          <w:szCs w:val="26"/>
        </w:rPr>
      </w:pPr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Согласно части 1 статьи 13 Федерального закона от 25 декабря 2008 № 273–ФЗ «О противодействии коррупции» работники Учреждения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3311F0" w:rsidRDefault="003311F0" w:rsidP="003311F0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192 Трудового кодекса Российской Федерации (далее – ТК РФ) к работнику Учреждения </w:t>
      </w:r>
      <w:proofErr w:type="gramStart"/>
      <w:r>
        <w:rPr>
          <w:sz w:val="26"/>
          <w:szCs w:val="26"/>
        </w:rPr>
        <w:t>могут</w:t>
      </w:r>
      <w:proofErr w:type="gramEnd"/>
      <w:r>
        <w:rPr>
          <w:sz w:val="26"/>
          <w:szCs w:val="26"/>
        </w:rPr>
        <w:t xml:space="preserve"> применены следующие дисциплинарные взыскания:</w:t>
      </w:r>
    </w:p>
    <w:p w:rsidR="003311F0" w:rsidRDefault="003311F0" w:rsidP="003311F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замечание;</w:t>
      </w:r>
    </w:p>
    <w:p w:rsidR="003311F0" w:rsidRDefault="003311F0" w:rsidP="003311F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выговор;</w:t>
      </w:r>
    </w:p>
    <w:p w:rsidR="003311F0" w:rsidRDefault="003311F0" w:rsidP="003311F0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увольнение, в том числе: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иной), ставшей известной работнику в связи с исполнением им трудовых обязанностей, в том числе разглашений персональных данных другого работника (пункт «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» </w:t>
      </w:r>
      <w:proofErr w:type="gramStart"/>
      <w:r>
        <w:rPr>
          <w:sz w:val="26"/>
          <w:szCs w:val="26"/>
        </w:rPr>
        <w:t>пункта</w:t>
      </w:r>
      <w:proofErr w:type="gramEnd"/>
      <w:r>
        <w:rPr>
          <w:sz w:val="26"/>
          <w:szCs w:val="26"/>
        </w:rPr>
        <w:t xml:space="preserve"> 6 части 1 статьи 81 ТК РФ); </w:t>
      </w:r>
    </w:p>
    <w:p w:rsidR="003311F0" w:rsidRDefault="003311F0" w:rsidP="003311F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основанию, предусмотренному пунктом 7.1. части первой статьи 81 ТК РФ в случае, когда виновные действия, дающие основания для утраты доверия, совершены работником по месту работы и в связи с исполнением им трудовых обязанностей.</w:t>
      </w:r>
    </w:p>
    <w:p w:rsidR="009F5597" w:rsidRPr="003311F0" w:rsidRDefault="009F5597" w:rsidP="003311F0"/>
    <w:sectPr w:rsidR="009F5597" w:rsidRPr="003311F0" w:rsidSect="009F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730"/>
    <w:multiLevelType w:val="multilevel"/>
    <w:tmpl w:val="13C4B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76A3726"/>
    <w:multiLevelType w:val="hybridMultilevel"/>
    <w:tmpl w:val="46F6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166"/>
    <w:multiLevelType w:val="hybridMultilevel"/>
    <w:tmpl w:val="0948747A"/>
    <w:lvl w:ilvl="0" w:tplc="DDA23844">
      <w:start w:val="6"/>
      <w:numFmt w:val="decimal"/>
      <w:lvlText w:val="%1."/>
      <w:lvlJc w:val="left"/>
      <w:pPr>
        <w:ind w:left="2629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AF6146"/>
    <w:multiLevelType w:val="hybridMultilevel"/>
    <w:tmpl w:val="8EEA3E12"/>
    <w:lvl w:ilvl="0" w:tplc="EEDC17E2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528339B"/>
    <w:multiLevelType w:val="multilevel"/>
    <w:tmpl w:val="74A41166"/>
    <w:lvl w:ilvl="0">
      <w:start w:val="1"/>
      <w:numFmt w:val="decimal"/>
      <w:lvlText w:val="%1."/>
      <w:lvlJc w:val="left"/>
      <w:pPr>
        <w:ind w:left="7053" w:hanging="39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9225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56A53B9E"/>
    <w:multiLevelType w:val="hybridMultilevel"/>
    <w:tmpl w:val="342A87AA"/>
    <w:lvl w:ilvl="0" w:tplc="2CAAD1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FE1B78"/>
    <w:multiLevelType w:val="hybridMultilevel"/>
    <w:tmpl w:val="4AC02984"/>
    <w:lvl w:ilvl="0" w:tplc="3BDE1872">
      <w:start w:val="7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8E5"/>
    <w:rsid w:val="003311F0"/>
    <w:rsid w:val="008948E5"/>
    <w:rsid w:val="009F5597"/>
    <w:rsid w:val="00CB0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48E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8E5"/>
    <w:pPr>
      <w:suppressAutoHyphens w:val="0"/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5814</Characters>
  <Application>Microsoft Office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2</cp:revision>
  <dcterms:created xsi:type="dcterms:W3CDTF">2021-11-10T10:15:00Z</dcterms:created>
  <dcterms:modified xsi:type="dcterms:W3CDTF">2021-11-10T10:15:00Z</dcterms:modified>
</cp:coreProperties>
</file>